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BE15B" w14:textId="77777777" w:rsidR="00E4414B" w:rsidRPr="00EC29A5" w:rsidRDefault="00E4414B" w:rsidP="00E4414B">
      <w:pPr>
        <w:rPr>
          <w:rFonts w:cs="Arial"/>
        </w:rPr>
      </w:pPr>
      <w:r>
        <w:rPr>
          <w:noProof/>
          <w:lang w:eastAsia="en-GB"/>
        </w:rPr>
        <w:drawing>
          <wp:anchor distT="0" distB="0" distL="114300" distR="114300" simplePos="0" relativeHeight="251660288" behindDoc="0" locked="0" layoutInCell="1" allowOverlap="1" wp14:anchorId="60888C02" wp14:editId="71701F1C">
            <wp:simplePos x="0" y="0"/>
            <wp:positionH relativeFrom="margin">
              <wp:posOffset>1661160</wp:posOffset>
            </wp:positionH>
            <wp:positionV relativeFrom="paragraph">
              <wp:posOffset>7620</wp:posOffset>
            </wp:positionV>
            <wp:extent cx="2305050" cy="1434465"/>
            <wp:effectExtent l="0" t="0" r="0" b="0"/>
            <wp:wrapNone/>
            <wp:docPr id="2" name="Picture 2" descr="lco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cob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05050" cy="14344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113973" w14:textId="77777777" w:rsidR="00E4414B" w:rsidRPr="00EC29A5" w:rsidRDefault="00E4414B" w:rsidP="00E4414B">
      <w:pPr>
        <w:rPr>
          <w:rFonts w:cs="Arial"/>
        </w:rPr>
      </w:pPr>
    </w:p>
    <w:p w14:paraId="2CD5BF01" w14:textId="77777777" w:rsidR="00E4414B" w:rsidRPr="00EC29A5" w:rsidRDefault="00E4414B" w:rsidP="00E4414B">
      <w:pPr>
        <w:rPr>
          <w:rFonts w:cs="Arial"/>
        </w:rPr>
      </w:pPr>
    </w:p>
    <w:p w14:paraId="1F0D551E" w14:textId="77777777" w:rsidR="00E4414B" w:rsidRPr="00EC29A5" w:rsidRDefault="00E4414B" w:rsidP="00E4414B">
      <w:pPr>
        <w:rPr>
          <w:rFonts w:cs="Arial"/>
        </w:rPr>
      </w:pPr>
    </w:p>
    <w:p w14:paraId="5D872BE0" w14:textId="77777777" w:rsidR="00E4414B" w:rsidRPr="00EC29A5" w:rsidRDefault="00E4414B" w:rsidP="00E4414B">
      <w:pPr>
        <w:rPr>
          <w:rFonts w:cs="Arial"/>
        </w:rPr>
      </w:pPr>
    </w:p>
    <w:p w14:paraId="25AB1142" w14:textId="77777777" w:rsidR="00E4414B" w:rsidRPr="00EC29A5" w:rsidRDefault="00E4414B" w:rsidP="00E4414B">
      <w:pPr>
        <w:rPr>
          <w:rFonts w:cs="Arial"/>
        </w:rPr>
      </w:pPr>
    </w:p>
    <w:p w14:paraId="2EC1E57F" w14:textId="77777777" w:rsidR="00E4414B" w:rsidRPr="00EC29A5" w:rsidRDefault="00E4414B" w:rsidP="00E4414B">
      <w:pPr>
        <w:rPr>
          <w:rFonts w:cs="Arial"/>
        </w:rPr>
      </w:pPr>
      <w:r>
        <w:rPr>
          <w:noProof/>
          <w:lang w:eastAsia="en-GB"/>
        </w:rPr>
        <mc:AlternateContent>
          <mc:Choice Requires="wps">
            <w:drawing>
              <wp:anchor distT="0" distB="0" distL="114300" distR="114300" simplePos="0" relativeHeight="251659264" behindDoc="0" locked="0" layoutInCell="1" allowOverlap="1" wp14:anchorId="75667512" wp14:editId="76A63623">
                <wp:simplePos x="0" y="0"/>
                <wp:positionH relativeFrom="column">
                  <wp:posOffset>695325</wp:posOffset>
                </wp:positionH>
                <wp:positionV relativeFrom="paragraph">
                  <wp:posOffset>57785</wp:posOffset>
                </wp:positionV>
                <wp:extent cx="4086225" cy="2762250"/>
                <wp:effectExtent l="0" t="0" r="9525" b="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6225" cy="2762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94EF92" w14:textId="77777777" w:rsidR="00E4414B" w:rsidRDefault="00E4414B" w:rsidP="00E4414B">
                            <w:pPr>
                              <w:rPr>
                                <w:b/>
                                <w:sz w:val="52"/>
                                <w:szCs w:val="52"/>
                              </w:rPr>
                            </w:pPr>
                          </w:p>
                          <w:p w14:paraId="32B7A7F4" w14:textId="77777777" w:rsidR="00E4414B" w:rsidRPr="00C119B0" w:rsidRDefault="00E4414B" w:rsidP="00E4414B">
                            <w:pPr>
                              <w:jc w:val="center"/>
                              <w:rPr>
                                <w:b/>
                                <w:sz w:val="52"/>
                                <w:szCs w:val="52"/>
                              </w:rPr>
                            </w:pPr>
                            <w:r>
                              <w:rPr>
                                <w:rFonts w:cs="Arial"/>
                                <w:b/>
                                <w:sz w:val="56"/>
                                <w:szCs w:val="56"/>
                              </w:rPr>
                              <w:t>Careers Policy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5667512" id="_x0000_t202" coordsize="21600,21600" o:spt="202" path="m,l,21600r21600,l21600,xe">
                <v:stroke joinstyle="miter"/>
                <v:path gradientshapeok="t" o:connecttype="rect"/>
              </v:shapetype>
              <v:shape id="Text Box 46" o:spid="_x0000_s1026" type="#_x0000_t202" style="position:absolute;margin-left:54.75pt;margin-top:4.55pt;width:321.7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" stroked="f">
                <v:textbox>
                  <w:txbxContent>
                    <w:p w14:paraId="7E94EF92" w14:textId="77777777" w:rsidR="00E4414B" w:rsidRDefault="00E4414B" w:rsidP="00E4414B">
                      <w:pPr>
                        <w:rPr>
                          <w:b/>
                          <w:sz w:val="52"/>
                          <w:szCs w:val="52"/>
                        </w:rPr>
                      </w:pPr>
                    </w:p>
                    <w:p w14:paraId="32B7A7F4" w14:textId="77777777" w:rsidR="00E4414B" w:rsidRPr="00C119B0" w:rsidRDefault="00E4414B" w:rsidP="00E4414B">
                      <w:pPr>
                        <w:jc w:val="center"/>
                        <w:rPr>
                          <w:b/>
                          <w:sz w:val="52"/>
                          <w:szCs w:val="52"/>
                        </w:rPr>
                      </w:pPr>
                      <w:r>
                        <w:rPr>
                          <w:rFonts w:cs="Arial"/>
                          <w:b/>
                          <w:sz w:val="56"/>
                          <w:szCs w:val="56"/>
                        </w:rPr>
                        <w:t>Careers Policy</w:t>
                      </w:r>
                    </w:p>
                  </w:txbxContent>
                </v:textbox>
              </v:shape>
            </w:pict>
          </mc:Fallback>
        </mc:AlternateContent>
      </w:r>
    </w:p>
    <w:p w14:paraId="5F8E0EC7" w14:textId="77777777" w:rsidR="00E4414B" w:rsidRPr="00EC29A5" w:rsidRDefault="00E4414B" w:rsidP="00E4414B">
      <w:pPr>
        <w:rPr>
          <w:rFonts w:cs="Arial"/>
        </w:rPr>
      </w:pPr>
    </w:p>
    <w:p w14:paraId="67D9D9BB" w14:textId="77777777" w:rsidR="00E4414B" w:rsidRPr="00EC29A5" w:rsidRDefault="00E4414B" w:rsidP="00E4414B">
      <w:pPr>
        <w:rPr>
          <w:rFonts w:cs="Arial"/>
        </w:rPr>
      </w:pPr>
    </w:p>
    <w:p w14:paraId="2B82DB4A" w14:textId="77777777" w:rsidR="00E4414B" w:rsidRPr="00EC29A5" w:rsidRDefault="00E4414B" w:rsidP="00E4414B">
      <w:pPr>
        <w:rPr>
          <w:rFonts w:cs="Arial"/>
        </w:rPr>
      </w:pPr>
    </w:p>
    <w:p w14:paraId="56235F21" w14:textId="77777777" w:rsidR="00E4414B" w:rsidRPr="00EC29A5" w:rsidRDefault="00E4414B" w:rsidP="00E4414B">
      <w:pPr>
        <w:rPr>
          <w:rFonts w:cs="Arial"/>
        </w:rPr>
      </w:pPr>
    </w:p>
    <w:p w14:paraId="26054623" w14:textId="77777777" w:rsidR="00E4414B" w:rsidRPr="00EC29A5" w:rsidRDefault="00E4414B" w:rsidP="00E4414B">
      <w:pPr>
        <w:rPr>
          <w:rFonts w:cs="Arial"/>
        </w:rPr>
      </w:pPr>
    </w:p>
    <w:p w14:paraId="33607BB1" w14:textId="77777777" w:rsidR="00E4414B" w:rsidRPr="00EC29A5" w:rsidRDefault="00E4414B" w:rsidP="00E4414B">
      <w:pPr>
        <w:rPr>
          <w:rFonts w:cs="Arial"/>
        </w:rPr>
      </w:pPr>
    </w:p>
    <w:p w14:paraId="1775FA03" w14:textId="77777777" w:rsidR="00E4414B" w:rsidRPr="00EC29A5" w:rsidRDefault="00E4414B" w:rsidP="00F82182">
      <w:pPr>
        <w:spacing w:after="0"/>
        <w:rPr>
          <w:rFonts w:cs="Arial"/>
        </w:rPr>
      </w:pPr>
    </w:p>
    <w:p w14:paraId="24050E39" w14:textId="77777777" w:rsidR="00E4414B" w:rsidRPr="00EC29A5" w:rsidRDefault="00E4414B" w:rsidP="00E4414B">
      <w:pPr>
        <w:rPr>
          <w:rFonts w:cs="Arial"/>
        </w:rPr>
      </w:pPr>
    </w:p>
    <w:p w14:paraId="70FF5EF8" w14:textId="77777777" w:rsidR="00E4414B" w:rsidRPr="00EC29A5" w:rsidRDefault="00E4414B" w:rsidP="00E4414B">
      <w:pPr>
        <w:rPr>
          <w:rFonts w:cs="Arial"/>
        </w:rPr>
      </w:pPr>
    </w:p>
    <w:tbl>
      <w:tblPr>
        <w:tblpPr w:leftFromText="180" w:rightFromText="180" w:vertAnchor="text" w:horzAnchor="margin" w:tblpY="284"/>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2268"/>
        <w:gridCol w:w="3232"/>
      </w:tblGrid>
      <w:tr w:rsidR="00E4414B" w:rsidRPr="00EC29A5" w14:paraId="228415B0" w14:textId="77777777" w:rsidTr="009042B2">
        <w:trPr>
          <w:trHeight w:val="274"/>
        </w:trPr>
        <w:tc>
          <w:tcPr>
            <w:tcW w:w="2122" w:type="dxa"/>
          </w:tcPr>
          <w:p w14:paraId="0FEB4E20" w14:textId="77777777" w:rsidR="00E4414B" w:rsidRPr="00EC29A5" w:rsidRDefault="00E4414B" w:rsidP="00AF3D47">
            <w:pPr>
              <w:rPr>
                <w:rFonts w:cs="Arial"/>
              </w:rPr>
            </w:pPr>
            <w:r w:rsidRPr="00EC29A5">
              <w:rPr>
                <w:rFonts w:cs="Arial"/>
              </w:rPr>
              <w:t>Issue:</w:t>
            </w:r>
          </w:p>
        </w:tc>
        <w:tc>
          <w:tcPr>
            <w:tcW w:w="1842" w:type="dxa"/>
          </w:tcPr>
          <w:p w14:paraId="5120E92E" w14:textId="77777777" w:rsidR="00E4414B" w:rsidRPr="00257FBD" w:rsidRDefault="00E4414B" w:rsidP="00AF3D47">
            <w:pPr>
              <w:jc w:val="center"/>
              <w:rPr>
                <w:rFonts w:cs="Arial"/>
              </w:rPr>
            </w:pPr>
            <w:r>
              <w:rPr>
                <w:rFonts w:cs="Arial"/>
              </w:rPr>
              <w:t>7</w:t>
            </w:r>
          </w:p>
        </w:tc>
        <w:tc>
          <w:tcPr>
            <w:tcW w:w="2268" w:type="dxa"/>
          </w:tcPr>
          <w:p w14:paraId="769E7574" w14:textId="77777777" w:rsidR="00E4414B" w:rsidRPr="00EC29A5" w:rsidRDefault="00E4414B" w:rsidP="009042B2">
            <w:pPr>
              <w:spacing w:after="100" w:afterAutospacing="1"/>
              <w:rPr>
                <w:rFonts w:cs="Arial"/>
              </w:rPr>
            </w:pPr>
            <w:r w:rsidRPr="00EC29A5">
              <w:rPr>
                <w:rFonts w:cs="Arial"/>
              </w:rPr>
              <w:t>Prepared by:</w:t>
            </w:r>
            <w:r>
              <w:rPr>
                <w:rFonts w:cs="Arial"/>
              </w:rPr>
              <w:t xml:space="preserve"> </w:t>
            </w:r>
          </w:p>
        </w:tc>
        <w:tc>
          <w:tcPr>
            <w:tcW w:w="3232" w:type="dxa"/>
          </w:tcPr>
          <w:p w14:paraId="629FAB86" w14:textId="1E071166" w:rsidR="00E4414B" w:rsidRPr="00EC29A5" w:rsidRDefault="00E4414B" w:rsidP="00AF3D47">
            <w:pPr>
              <w:rPr>
                <w:rFonts w:cs="Arial"/>
              </w:rPr>
            </w:pPr>
            <w:r w:rsidRPr="00EC29A5">
              <w:rPr>
                <w:rFonts w:cs="Arial"/>
              </w:rPr>
              <w:t>Authorised by:</w:t>
            </w:r>
          </w:p>
        </w:tc>
      </w:tr>
      <w:tr w:rsidR="00E4414B" w:rsidRPr="00EC29A5" w14:paraId="147AA1F0" w14:textId="77777777" w:rsidTr="009042B2">
        <w:tc>
          <w:tcPr>
            <w:tcW w:w="2122" w:type="dxa"/>
          </w:tcPr>
          <w:p w14:paraId="4040CAE4" w14:textId="77777777" w:rsidR="00E4414B" w:rsidRPr="00EC29A5" w:rsidRDefault="00E4414B" w:rsidP="00AF3D47">
            <w:pPr>
              <w:rPr>
                <w:rFonts w:cs="Arial"/>
              </w:rPr>
            </w:pPr>
            <w:r>
              <w:rPr>
                <w:rFonts w:cs="Arial"/>
              </w:rPr>
              <w:t xml:space="preserve">Original Issue </w:t>
            </w:r>
            <w:r w:rsidRPr="00EC29A5">
              <w:rPr>
                <w:rFonts w:cs="Arial"/>
              </w:rPr>
              <w:t>Date:</w:t>
            </w:r>
          </w:p>
        </w:tc>
        <w:tc>
          <w:tcPr>
            <w:tcW w:w="1842" w:type="dxa"/>
          </w:tcPr>
          <w:p w14:paraId="10B47163" w14:textId="2836CA2E" w:rsidR="00E4414B" w:rsidRPr="00257FBD" w:rsidRDefault="001B0BE7" w:rsidP="00AF3D47">
            <w:pPr>
              <w:jc w:val="center"/>
              <w:rPr>
                <w:rFonts w:cs="Arial"/>
              </w:rPr>
            </w:pPr>
            <w:r>
              <w:rPr>
                <w:rFonts w:cs="Arial"/>
              </w:rPr>
              <w:t>12/10/2005</w:t>
            </w:r>
          </w:p>
        </w:tc>
        <w:tc>
          <w:tcPr>
            <w:tcW w:w="2268" w:type="dxa"/>
          </w:tcPr>
          <w:p w14:paraId="756E8D4C" w14:textId="77777777" w:rsidR="00E4414B" w:rsidRPr="00257FBD" w:rsidRDefault="00E4414B" w:rsidP="00F82182">
            <w:pPr>
              <w:spacing w:after="100" w:afterAutospacing="1"/>
              <w:rPr>
                <w:rFonts w:cs="Arial"/>
              </w:rPr>
            </w:pPr>
            <w:r>
              <w:rPr>
                <w:rFonts w:cs="Arial"/>
              </w:rPr>
              <w:t>Careers Leader</w:t>
            </w:r>
          </w:p>
        </w:tc>
        <w:tc>
          <w:tcPr>
            <w:tcW w:w="3232" w:type="dxa"/>
          </w:tcPr>
          <w:p w14:paraId="2D2F8E80" w14:textId="77777777" w:rsidR="00E4414B" w:rsidRPr="00440219" w:rsidRDefault="00E4414B" w:rsidP="00AF3D47">
            <w:pPr>
              <w:rPr>
                <w:rFonts w:cs="Arial"/>
              </w:rPr>
            </w:pPr>
            <w:r>
              <w:rPr>
                <w:rFonts w:cs="Arial"/>
              </w:rPr>
              <w:t>Principal &amp; CEO</w:t>
            </w:r>
          </w:p>
        </w:tc>
      </w:tr>
      <w:tr w:rsidR="00E4414B" w:rsidRPr="00EC29A5" w14:paraId="778A3627" w14:textId="77777777" w:rsidTr="009042B2">
        <w:tc>
          <w:tcPr>
            <w:tcW w:w="2122" w:type="dxa"/>
          </w:tcPr>
          <w:p w14:paraId="3FA33B12" w14:textId="77777777" w:rsidR="00E4414B" w:rsidRPr="00EC29A5" w:rsidRDefault="00E4414B" w:rsidP="00AF3D47">
            <w:pPr>
              <w:rPr>
                <w:rFonts w:cs="Arial"/>
              </w:rPr>
            </w:pPr>
            <w:r w:rsidRPr="00EC29A5">
              <w:rPr>
                <w:rFonts w:cs="Arial"/>
              </w:rPr>
              <w:t>Reviewed:</w:t>
            </w:r>
          </w:p>
        </w:tc>
        <w:tc>
          <w:tcPr>
            <w:tcW w:w="1842" w:type="dxa"/>
          </w:tcPr>
          <w:p w14:paraId="3C4A5508" w14:textId="3D59BAFB" w:rsidR="00E4414B" w:rsidRPr="00257FBD" w:rsidRDefault="001B0BE7" w:rsidP="009042B2">
            <w:pPr>
              <w:jc w:val="center"/>
              <w:rPr>
                <w:rFonts w:cs="Arial"/>
              </w:rPr>
            </w:pPr>
            <w:r>
              <w:rPr>
                <w:rFonts w:cs="Arial"/>
              </w:rPr>
              <w:t>June 2025</w:t>
            </w:r>
          </w:p>
        </w:tc>
        <w:tc>
          <w:tcPr>
            <w:tcW w:w="2268" w:type="dxa"/>
          </w:tcPr>
          <w:p w14:paraId="0AACF671" w14:textId="77777777" w:rsidR="00E4414B" w:rsidRPr="00257FBD" w:rsidRDefault="00E4414B" w:rsidP="00F82182">
            <w:pPr>
              <w:spacing w:after="100" w:afterAutospacing="1"/>
              <w:rPr>
                <w:rFonts w:cs="Arial"/>
              </w:rPr>
            </w:pPr>
          </w:p>
        </w:tc>
        <w:tc>
          <w:tcPr>
            <w:tcW w:w="3232" w:type="dxa"/>
          </w:tcPr>
          <w:p w14:paraId="2876FB0F" w14:textId="77777777" w:rsidR="00E4414B" w:rsidRPr="00EC29A5" w:rsidRDefault="00E4414B" w:rsidP="00AF3D47">
            <w:pPr>
              <w:rPr>
                <w:rFonts w:cs="Arial"/>
              </w:rPr>
            </w:pPr>
            <w:r w:rsidRPr="00EC29A5">
              <w:rPr>
                <w:rFonts w:cs="Arial"/>
              </w:rPr>
              <w:t>Approved by:</w:t>
            </w:r>
            <w:r>
              <w:rPr>
                <w:rFonts w:cs="Arial"/>
              </w:rPr>
              <w:t xml:space="preserve"> </w:t>
            </w:r>
          </w:p>
        </w:tc>
      </w:tr>
      <w:tr w:rsidR="00E4414B" w:rsidRPr="00EC29A5" w14:paraId="3C7165E0" w14:textId="77777777" w:rsidTr="009042B2">
        <w:trPr>
          <w:trHeight w:val="254"/>
        </w:trPr>
        <w:tc>
          <w:tcPr>
            <w:tcW w:w="2122" w:type="dxa"/>
          </w:tcPr>
          <w:p w14:paraId="0C4C6FDB" w14:textId="77777777" w:rsidR="00E4414B" w:rsidRPr="00EC29A5" w:rsidRDefault="00E4414B" w:rsidP="00AF3D47">
            <w:pPr>
              <w:rPr>
                <w:rFonts w:cs="Arial"/>
              </w:rPr>
            </w:pPr>
            <w:r w:rsidRPr="00EC29A5">
              <w:rPr>
                <w:rFonts w:cs="Arial"/>
              </w:rPr>
              <w:t>Next Review:</w:t>
            </w:r>
          </w:p>
        </w:tc>
        <w:tc>
          <w:tcPr>
            <w:tcW w:w="1842" w:type="dxa"/>
          </w:tcPr>
          <w:p w14:paraId="2334A3FA" w14:textId="3666F77E" w:rsidR="00E4414B" w:rsidRPr="00257FBD" w:rsidRDefault="001B0BE7" w:rsidP="009042B2">
            <w:pPr>
              <w:jc w:val="center"/>
              <w:rPr>
                <w:rFonts w:cs="Arial"/>
              </w:rPr>
            </w:pPr>
            <w:r>
              <w:rPr>
                <w:rFonts w:cs="Arial"/>
              </w:rPr>
              <w:t>June 2026</w:t>
            </w:r>
          </w:p>
        </w:tc>
        <w:tc>
          <w:tcPr>
            <w:tcW w:w="2268" w:type="dxa"/>
          </w:tcPr>
          <w:p w14:paraId="358381F7" w14:textId="2E567B11" w:rsidR="00E4414B" w:rsidRPr="00257FBD" w:rsidRDefault="00E4414B" w:rsidP="00F82182">
            <w:pPr>
              <w:spacing w:after="100" w:afterAutospacing="1"/>
              <w:rPr>
                <w:rFonts w:cs="Arial"/>
              </w:rPr>
            </w:pPr>
            <w:r w:rsidRPr="00257FBD">
              <w:rPr>
                <w:rFonts w:cs="Arial"/>
              </w:rPr>
              <w:t xml:space="preserve"> </w:t>
            </w:r>
            <w:r w:rsidR="001B0BE7">
              <w:rPr>
                <w:rFonts w:cs="Arial"/>
              </w:rPr>
              <w:t>1 years</w:t>
            </w:r>
          </w:p>
        </w:tc>
        <w:tc>
          <w:tcPr>
            <w:tcW w:w="3232" w:type="dxa"/>
          </w:tcPr>
          <w:p w14:paraId="111DB9E6" w14:textId="6014D109" w:rsidR="009042B2" w:rsidRPr="00440219" w:rsidRDefault="00E4414B" w:rsidP="00AF3D47">
            <w:pPr>
              <w:rPr>
                <w:rFonts w:cs="Arial"/>
              </w:rPr>
            </w:pPr>
            <w:r w:rsidRPr="00440219">
              <w:rPr>
                <w:rFonts w:cs="Arial"/>
              </w:rPr>
              <w:t>S</w:t>
            </w:r>
            <w:r>
              <w:rPr>
                <w:rFonts w:cs="Arial"/>
              </w:rPr>
              <w:t>LT</w:t>
            </w:r>
          </w:p>
        </w:tc>
      </w:tr>
    </w:tbl>
    <w:p w14:paraId="655E1A7D" w14:textId="77777777" w:rsidR="00E4414B" w:rsidRPr="00BF4661" w:rsidRDefault="00E4414B" w:rsidP="00E4414B">
      <w:pPr>
        <w:rPr>
          <w:rFonts w:cs="Arial"/>
        </w:rPr>
      </w:pPr>
    </w:p>
    <w:p w14:paraId="662B1EA0" w14:textId="77777777" w:rsidR="00E4414B" w:rsidRDefault="00E4414B" w:rsidP="00E4414B">
      <w:pPr>
        <w:pStyle w:val="ListParagraph"/>
        <w:spacing w:line="240" w:lineRule="auto"/>
        <w:ind w:left="3"/>
        <w:rPr>
          <w:rFonts w:ascii="Arial" w:hAnsi="Arial" w:cs="Arial"/>
          <w:b/>
          <w:u w:val="single"/>
        </w:rPr>
      </w:pPr>
    </w:p>
    <w:p w14:paraId="1F42CB93" w14:textId="77777777" w:rsidR="00E4414B" w:rsidRDefault="00E4414B" w:rsidP="00E4414B"/>
    <w:p w14:paraId="481D5110" w14:textId="77777777" w:rsidR="00E4414B" w:rsidRDefault="00E4414B" w:rsidP="00E4414B"/>
    <w:p w14:paraId="611231F2" w14:textId="3E09E240" w:rsidR="00E4414B" w:rsidRDefault="009042B2" w:rsidP="00E4414B">
      <w:r>
        <w:br w:type="page"/>
      </w:r>
    </w:p>
    <w:p w14:paraId="11F5E813" w14:textId="4ED31660" w:rsidR="001E062A" w:rsidRPr="00FA2FFD" w:rsidRDefault="001E062A" w:rsidP="00112FF4">
      <w:pPr>
        <w:jc w:val="center"/>
        <w:rPr>
          <w:rFonts w:ascii="Arial" w:hAnsi="Arial" w:cs="Arial"/>
          <w:b/>
          <w:bCs/>
        </w:rPr>
      </w:pPr>
      <w:r w:rsidRPr="001E062A">
        <w:rPr>
          <w:rFonts w:ascii="Arial" w:hAnsi="Arial" w:cs="Arial"/>
          <w:b/>
          <w:bCs/>
        </w:rPr>
        <w:lastRenderedPageBreak/>
        <w:t>Leeds College of Building</w:t>
      </w:r>
    </w:p>
    <w:p w14:paraId="22B5FE40" w14:textId="3AE7AB7A" w:rsidR="00112FF4" w:rsidRPr="001E062A" w:rsidRDefault="00112FF4" w:rsidP="00112FF4">
      <w:pPr>
        <w:jc w:val="center"/>
        <w:rPr>
          <w:rFonts w:ascii="Arial" w:hAnsi="Arial" w:cs="Arial"/>
          <w:b/>
          <w:bCs/>
        </w:rPr>
      </w:pPr>
      <w:r w:rsidRPr="001E062A">
        <w:rPr>
          <w:rFonts w:ascii="Arial" w:hAnsi="Arial" w:cs="Arial"/>
          <w:b/>
          <w:bCs/>
        </w:rPr>
        <w:t>Careers Policy</w:t>
      </w:r>
    </w:p>
    <w:p w14:paraId="796FC0DB" w14:textId="77777777" w:rsidR="00112FF4" w:rsidRPr="00FA2FFD" w:rsidRDefault="00112FF4" w:rsidP="009042B2">
      <w:pPr>
        <w:jc w:val="both"/>
        <w:rPr>
          <w:rFonts w:ascii="Arial" w:hAnsi="Arial" w:cs="Arial"/>
          <w:b/>
          <w:bCs/>
        </w:rPr>
      </w:pPr>
      <w:r w:rsidRPr="00FA2FFD">
        <w:rPr>
          <w:rFonts w:ascii="Arial" w:hAnsi="Arial" w:cs="Arial"/>
          <w:b/>
          <w:bCs/>
        </w:rPr>
        <w:t>Vision</w:t>
      </w:r>
    </w:p>
    <w:p w14:paraId="7D62D937" w14:textId="04E8FE48" w:rsidR="001E062A" w:rsidRPr="001E062A" w:rsidRDefault="001E062A" w:rsidP="009042B2">
      <w:pPr>
        <w:jc w:val="both"/>
        <w:rPr>
          <w:rFonts w:ascii="Arial" w:hAnsi="Arial" w:cs="Arial"/>
        </w:rPr>
      </w:pPr>
      <w:r w:rsidRPr="001E062A">
        <w:rPr>
          <w:rFonts w:ascii="Arial" w:hAnsi="Arial" w:cs="Arial"/>
        </w:rPr>
        <w:t>Leeds College of Building (LCB) is committed to delivering high-quality, impartial, and student-focused Careers Education, Information, Advice, and Guidance (CEIAG) that prepares all learners with the skills, knowledge, and experiences needed to take their next steps towards a fulfilling and sustainable career.</w:t>
      </w:r>
    </w:p>
    <w:p w14:paraId="54341D39" w14:textId="77777777" w:rsidR="001E062A" w:rsidRPr="001E062A" w:rsidRDefault="001E062A" w:rsidP="009042B2">
      <w:pPr>
        <w:jc w:val="both"/>
        <w:rPr>
          <w:rFonts w:ascii="Arial" w:hAnsi="Arial" w:cs="Arial"/>
        </w:rPr>
      </w:pPr>
      <w:r w:rsidRPr="001E062A">
        <w:rPr>
          <w:rFonts w:ascii="Arial" w:hAnsi="Arial" w:cs="Arial"/>
        </w:rPr>
        <w:t>While our careers provision is tailored to the construction and built environment sectors, we also ensure that students develop transferable skills that are essential for any career path, preparing them to progress into meaningful employment or further career development.</w:t>
      </w:r>
    </w:p>
    <w:p w14:paraId="6E51F27D" w14:textId="77777777" w:rsidR="001E062A" w:rsidRPr="001E062A" w:rsidRDefault="001E062A" w:rsidP="009042B2">
      <w:pPr>
        <w:jc w:val="both"/>
        <w:rPr>
          <w:rFonts w:ascii="Arial" w:hAnsi="Arial" w:cs="Arial"/>
        </w:rPr>
      </w:pPr>
      <w:r w:rsidRPr="001E062A">
        <w:rPr>
          <w:rFonts w:ascii="Arial" w:hAnsi="Arial" w:cs="Arial"/>
        </w:rPr>
        <w:t>These core aims are underpinned by our values of fairness, ownership, collaboration, understanding, standards, equity, and delivery, ensuring that every student receives inclusive and impactful careers guidance.</w:t>
      </w:r>
    </w:p>
    <w:p w14:paraId="58D09CFF" w14:textId="77777777" w:rsidR="001E062A" w:rsidRPr="001E062A" w:rsidRDefault="001E062A" w:rsidP="009042B2">
      <w:pPr>
        <w:jc w:val="both"/>
        <w:rPr>
          <w:rFonts w:ascii="Arial" w:hAnsi="Arial" w:cs="Arial"/>
        </w:rPr>
      </w:pPr>
      <w:r w:rsidRPr="001E062A">
        <w:rPr>
          <w:rFonts w:ascii="Arial" w:hAnsi="Arial" w:cs="Arial"/>
        </w:rPr>
        <w:t>By embedding these values into our careers provision, we support students in making considered and relevant career decisions that reflect their aspirations and equip them with the skills needed for employment.</w:t>
      </w:r>
    </w:p>
    <w:p w14:paraId="1AFC9AFE" w14:textId="38F748F0" w:rsidR="008C719C" w:rsidRPr="00FA2FFD" w:rsidRDefault="008C719C" w:rsidP="009042B2">
      <w:pPr>
        <w:jc w:val="both"/>
        <w:rPr>
          <w:rFonts w:ascii="Arial" w:hAnsi="Arial" w:cs="Arial"/>
          <w:b/>
          <w:bCs/>
        </w:rPr>
      </w:pPr>
      <w:r w:rsidRPr="008C719C">
        <w:rPr>
          <w:rFonts w:ascii="Arial" w:hAnsi="Arial" w:cs="Arial"/>
          <w:b/>
          <w:bCs/>
        </w:rPr>
        <w:t>Scope</w:t>
      </w:r>
    </w:p>
    <w:p w14:paraId="3EC35CF4" w14:textId="77777777" w:rsidR="00725C45" w:rsidRPr="00725C45" w:rsidRDefault="00725C45" w:rsidP="009042B2">
      <w:pPr>
        <w:jc w:val="both"/>
        <w:rPr>
          <w:rFonts w:ascii="Arial" w:hAnsi="Arial" w:cs="Arial"/>
        </w:rPr>
      </w:pPr>
      <w:r w:rsidRPr="00725C45">
        <w:rPr>
          <w:rFonts w:ascii="Arial" w:hAnsi="Arial" w:cs="Arial"/>
        </w:rPr>
        <w:t>This policy applies to all students at Leeds College of Building (LCB), including full-time and part-time students, apprentices, higher education learners, and adult learners. LCB is committed to providing high-quality careers education and information through a well-structured careers programme, offering career development support, in line with:</w:t>
      </w:r>
    </w:p>
    <w:p w14:paraId="67D1C1A6" w14:textId="5981081A" w:rsidR="00725C45" w:rsidRPr="001B0BE7" w:rsidRDefault="00725C45" w:rsidP="009042B2">
      <w:pPr>
        <w:pStyle w:val="ListParagraph"/>
        <w:numPr>
          <w:ilvl w:val="0"/>
          <w:numId w:val="21"/>
        </w:numPr>
        <w:jc w:val="both"/>
        <w:rPr>
          <w:rFonts w:ascii="Arial" w:hAnsi="Arial" w:cs="Arial"/>
        </w:rPr>
      </w:pPr>
      <w:r w:rsidRPr="001B0BE7">
        <w:rPr>
          <w:rFonts w:ascii="Arial" w:hAnsi="Arial" w:cs="Arial"/>
        </w:rPr>
        <w:t>Department for Education (DfE) statutory guidance on careers provision, ensuring all learners receive high-quality career education, guidance, and access to meaningful opportunities to make informed future choices.</w:t>
      </w:r>
    </w:p>
    <w:p w14:paraId="683A9E5A" w14:textId="27E42970" w:rsidR="00A3219D" w:rsidRPr="001B0BE7" w:rsidRDefault="00725C45" w:rsidP="009042B2">
      <w:pPr>
        <w:pStyle w:val="ListParagraph"/>
        <w:numPr>
          <w:ilvl w:val="0"/>
          <w:numId w:val="21"/>
        </w:numPr>
        <w:jc w:val="both"/>
        <w:rPr>
          <w:rFonts w:ascii="Arial" w:hAnsi="Arial" w:cs="Arial"/>
        </w:rPr>
      </w:pPr>
      <w:r w:rsidRPr="001B0BE7">
        <w:rPr>
          <w:rFonts w:ascii="Arial" w:hAnsi="Arial" w:cs="Arial"/>
        </w:rPr>
        <w:t>The Careers &amp; Enterprise Company (CEC) framework for high-quality careers programmes.</w:t>
      </w:r>
    </w:p>
    <w:p w14:paraId="713CC4D7" w14:textId="65B41D2F" w:rsidR="00725C45" w:rsidRPr="001B0BE7" w:rsidRDefault="00725C45" w:rsidP="009042B2">
      <w:pPr>
        <w:pStyle w:val="ListParagraph"/>
        <w:numPr>
          <w:ilvl w:val="0"/>
          <w:numId w:val="21"/>
        </w:numPr>
        <w:jc w:val="both"/>
        <w:rPr>
          <w:rFonts w:ascii="Arial" w:hAnsi="Arial" w:cs="Arial"/>
        </w:rPr>
      </w:pPr>
      <w:r w:rsidRPr="001B0BE7">
        <w:rPr>
          <w:rFonts w:ascii="Arial" w:hAnsi="Arial" w:cs="Arial"/>
        </w:rPr>
        <w:t>The Gatsby Benchmarks for effective careers education and employer engagement.</w:t>
      </w:r>
    </w:p>
    <w:p w14:paraId="05682B61" w14:textId="77777777" w:rsidR="00125CA4" w:rsidRPr="00FA2FFD" w:rsidRDefault="008C719C" w:rsidP="009042B2">
      <w:pPr>
        <w:jc w:val="both"/>
        <w:rPr>
          <w:rFonts w:ascii="Arial" w:hAnsi="Arial" w:cs="Arial"/>
          <w:b/>
          <w:bCs/>
        </w:rPr>
      </w:pPr>
      <w:r w:rsidRPr="008C719C">
        <w:rPr>
          <w:rFonts w:ascii="Arial" w:hAnsi="Arial" w:cs="Arial"/>
          <w:b/>
          <w:bCs/>
        </w:rPr>
        <w:t xml:space="preserve">Careers Support for </w:t>
      </w:r>
      <w:proofErr w:type="gramStart"/>
      <w:r w:rsidRPr="008C719C">
        <w:rPr>
          <w:rFonts w:ascii="Arial" w:hAnsi="Arial" w:cs="Arial"/>
          <w:b/>
          <w:bCs/>
        </w:rPr>
        <w:t>16-19 Year-Old</w:t>
      </w:r>
      <w:proofErr w:type="gramEnd"/>
      <w:r w:rsidRPr="008C719C">
        <w:rPr>
          <w:rFonts w:ascii="Arial" w:hAnsi="Arial" w:cs="Arial"/>
          <w:b/>
          <w:bCs/>
        </w:rPr>
        <w:t xml:space="preserve"> Learners</w:t>
      </w:r>
    </w:p>
    <w:p w14:paraId="69862072" w14:textId="2CAF517C" w:rsidR="00E90DBD" w:rsidRPr="00FA2FFD" w:rsidRDefault="00E90DBD" w:rsidP="009042B2">
      <w:pPr>
        <w:jc w:val="both"/>
        <w:rPr>
          <w:rFonts w:ascii="Arial" w:hAnsi="Arial" w:cs="Arial"/>
        </w:rPr>
      </w:pPr>
      <w:r w:rsidRPr="00FA2FFD">
        <w:rPr>
          <w:rFonts w:ascii="Arial" w:hAnsi="Arial" w:cs="Arial"/>
        </w:rPr>
        <w:t>LCB acknowledges that 16-19-year-old learners are at a key transition stage in their education. In line with DfE and CEC requirements, it is essential that these learners receive high-quality careers guidance and careers education. This support is vital in helping students make informed decisions about their future, whether progressing into further education, apprenticeships, or employment, ensuring they are prepared for their next steps.</w:t>
      </w:r>
    </w:p>
    <w:p w14:paraId="6B79E012" w14:textId="68DCC7B9" w:rsidR="007B5833" w:rsidRDefault="008C719C" w:rsidP="009042B2">
      <w:pPr>
        <w:jc w:val="both"/>
        <w:rPr>
          <w:rFonts w:ascii="Arial" w:hAnsi="Arial" w:cs="Arial"/>
        </w:rPr>
      </w:pPr>
      <w:r w:rsidRPr="008C719C">
        <w:rPr>
          <w:rFonts w:ascii="Arial" w:hAnsi="Arial" w:cs="Arial"/>
        </w:rPr>
        <w:br/>
      </w:r>
      <w:r w:rsidR="00851042" w:rsidRPr="00FA2FFD">
        <w:rPr>
          <w:rFonts w:ascii="Arial" w:hAnsi="Arial" w:cs="Arial"/>
          <w:b/>
          <w:bCs/>
        </w:rPr>
        <w:t>Careers Support for Learners with SEND (Special Educational Needs and Disabilities)</w:t>
      </w:r>
      <w:r w:rsidR="00851042" w:rsidRPr="00FA2FFD">
        <w:rPr>
          <w:rFonts w:ascii="Arial" w:hAnsi="Arial" w:cs="Arial"/>
        </w:rPr>
        <w:br/>
        <w:t>Learners with an Education, Health, and Care Plan (EHCP) are entitled to receive careers advice and careers guidance up to the age of 24, in line with DfE and CEC requirements. The focus of this support is on preparing SEND learners for adulthood and ensuring they have the resources to make informed decisions about education, employment, or training opportunities.</w:t>
      </w:r>
    </w:p>
    <w:p w14:paraId="5E10E3B0" w14:textId="77777777" w:rsidR="00A3219D" w:rsidRDefault="00A3219D" w:rsidP="009042B2">
      <w:pPr>
        <w:jc w:val="both"/>
        <w:rPr>
          <w:rFonts w:ascii="Arial" w:hAnsi="Arial" w:cs="Arial"/>
        </w:rPr>
      </w:pPr>
    </w:p>
    <w:p w14:paraId="7A243839" w14:textId="77777777" w:rsidR="001B0BE7" w:rsidRPr="00FA2FFD" w:rsidRDefault="001B0BE7" w:rsidP="009042B2">
      <w:pPr>
        <w:jc w:val="both"/>
        <w:rPr>
          <w:rFonts w:ascii="Arial" w:hAnsi="Arial" w:cs="Arial"/>
        </w:rPr>
      </w:pPr>
    </w:p>
    <w:p w14:paraId="6C73F5AB" w14:textId="71FA1C36" w:rsidR="008C719C" w:rsidRPr="008C719C" w:rsidRDefault="008C719C" w:rsidP="009042B2">
      <w:pPr>
        <w:jc w:val="both"/>
        <w:rPr>
          <w:rFonts w:ascii="Arial" w:hAnsi="Arial" w:cs="Arial"/>
        </w:rPr>
      </w:pPr>
      <w:r w:rsidRPr="008C719C">
        <w:rPr>
          <w:rFonts w:ascii="Arial" w:hAnsi="Arial" w:cs="Arial"/>
          <w:b/>
          <w:bCs/>
        </w:rPr>
        <w:t>Careers Support for Apprentices</w:t>
      </w:r>
    </w:p>
    <w:p w14:paraId="37A49410" w14:textId="77777777" w:rsidR="008C719C" w:rsidRPr="008C719C" w:rsidRDefault="008C719C" w:rsidP="009042B2">
      <w:pPr>
        <w:jc w:val="both"/>
        <w:rPr>
          <w:rFonts w:ascii="Arial" w:hAnsi="Arial" w:cs="Arial"/>
        </w:rPr>
      </w:pPr>
      <w:r w:rsidRPr="008C719C">
        <w:rPr>
          <w:rFonts w:ascii="Arial" w:hAnsi="Arial" w:cs="Arial"/>
        </w:rPr>
        <w:lastRenderedPageBreak/>
        <w:t xml:space="preserve">Apprentices are made aware of the </w:t>
      </w:r>
      <w:proofErr w:type="gramStart"/>
      <w:r w:rsidRPr="008C719C">
        <w:rPr>
          <w:rFonts w:ascii="Arial" w:hAnsi="Arial" w:cs="Arial"/>
        </w:rPr>
        <w:t>careers</w:t>
      </w:r>
      <w:proofErr w:type="gramEnd"/>
      <w:r w:rsidRPr="008C719C">
        <w:rPr>
          <w:rFonts w:ascii="Arial" w:hAnsi="Arial" w:cs="Arial"/>
        </w:rPr>
        <w:t xml:space="preserve"> guidance available to them, including advice on career progression, further training, and professional development, should they wish to explore opportunities beyond their current roles.</w:t>
      </w:r>
    </w:p>
    <w:p w14:paraId="3FD0F5DD" w14:textId="77777777" w:rsidR="008C719C" w:rsidRPr="008C719C" w:rsidRDefault="008C719C" w:rsidP="009042B2">
      <w:pPr>
        <w:jc w:val="both"/>
        <w:rPr>
          <w:rFonts w:ascii="Arial" w:hAnsi="Arial" w:cs="Arial"/>
        </w:rPr>
      </w:pPr>
      <w:r w:rsidRPr="008C719C">
        <w:rPr>
          <w:rFonts w:ascii="Arial" w:hAnsi="Arial" w:cs="Arial"/>
          <w:b/>
          <w:bCs/>
        </w:rPr>
        <w:t>Careers Support for Adult Learners</w:t>
      </w:r>
    </w:p>
    <w:p w14:paraId="4E750723" w14:textId="77777777" w:rsidR="008C719C" w:rsidRPr="008C719C" w:rsidRDefault="008C719C" w:rsidP="009042B2">
      <w:pPr>
        <w:jc w:val="both"/>
        <w:rPr>
          <w:rFonts w:ascii="Arial" w:hAnsi="Arial" w:cs="Arial"/>
        </w:rPr>
      </w:pPr>
      <w:r w:rsidRPr="008C719C">
        <w:rPr>
          <w:rFonts w:ascii="Arial" w:hAnsi="Arial" w:cs="Arial"/>
        </w:rPr>
        <w:t xml:space="preserve">Adult learners are informed of the </w:t>
      </w:r>
      <w:proofErr w:type="gramStart"/>
      <w:r w:rsidRPr="008C719C">
        <w:rPr>
          <w:rFonts w:ascii="Arial" w:hAnsi="Arial" w:cs="Arial"/>
        </w:rPr>
        <w:t>careers</w:t>
      </w:r>
      <w:proofErr w:type="gramEnd"/>
      <w:r w:rsidRPr="008C719C">
        <w:rPr>
          <w:rFonts w:ascii="Arial" w:hAnsi="Arial" w:cs="Arial"/>
        </w:rPr>
        <w:t xml:space="preserve"> advice, retraining opportunities, and support available through the National Careers Service, helping them explore career changes and lifelong learning if they choose to do so.</w:t>
      </w:r>
    </w:p>
    <w:p w14:paraId="7C4FAD5D" w14:textId="2EA2DE65" w:rsidR="0015572F" w:rsidRPr="00FA2FFD" w:rsidRDefault="004C63DA" w:rsidP="009042B2">
      <w:pPr>
        <w:jc w:val="both"/>
        <w:rPr>
          <w:rFonts w:ascii="Arial" w:hAnsi="Arial" w:cs="Arial"/>
          <w:b/>
          <w:bCs/>
        </w:rPr>
      </w:pPr>
      <w:r w:rsidRPr="00FA2FFD">
        <w:rPr>
          <w:rFonts w:ascii="Arial" w:hAnsi="Arial" w:cs="Arial"/>
          <w:b/>
          <w:bCs/>
        </w:rPr>
        <w:t>Objectives</w:t>
      </w:r>
    </w:p>
    <w:p w14:paraId="04EBEB46" w14:textId="66557DCD" w:rsidR="00FF547C" w:rsidRPr="00FA2FFD" w:rsidRDefault="00FF547C" w:rsidP="009042B2">
      <w:pPr>
        <w:jc w:val="both"/>
        <w:rPr>
          <w:rFonts w:ascii="Arial" w:hAnsi="Arial" w:cs="Arial"/>
        </w:rPr>
      </w:pPr>
      <w:r w:rsidRPr="00FA2FFD">
        <w:rPr>
          <w:rFonts w:ascii="Arial" w:hAnsi="Arial" w:cs="Arial"/>
        </w:rPr>
        <w:t xml:space="preserve">Leeds College of Building careers policy objectives are </w:t>
      </w:r>
      <w:r w:rsidR="00ED22E4" w:rsidRPr="00FA2FFD">
        <w:rPr>
          <w:rFonts w:ascii="Arial" w:hAnsi="Arial" w:cs="Arial"/>
        </w:rPr>
        <w:t>structured around the eight Gatsby benchmarks</w:t>
      </w:r>
      <w:r w:rsidR="00AA71B4" w:rsidRPr="00FA2FFD">
        <w:rPr>
          <w:rFonts w:ascii="Arial" w:hAnsi="Arial" w:cs="Arial"/>
        </w:rPr>
        <w:t>:</w:t>
      </w:r>
    </w:p>
    <w:p w14:paraId="077A8A14" w14:textId="1F4571CC" w:rsidR="00B32BE0" w:rsidRPr="001B0BE7" w:rsidRDefault="00B32BE0" w:rsidP="009042B2">
      <w:pPr>
        <w:pStyle w:val="ListParagraph"/>
        <w:numPr>
          <w:ilvl w:val="0"/>
          <w:numId w:val="21"/>
        </w:numPr>
        <w:jc w:val="both"/>
        <w:rPr>
          <w:rFonts w:ascii="Arial" w:hAnsi="Arial" w:cs="Arial"/>
        </w:rPr>
      </w:pPr>
      <w:r w:rsidRPr="001B0BE7">
        <w:rPr>
          <w:rFonts w:ascii="Arial" w:hAnsi="Arial" w:cs="Arial"/>
        </w:rPr>
        <w:t xml:space="preserve">Provide a structured and accessible careers programme, published on the college website, </w:t>
      </w:r>
      <w:r w:rsidR="008749F5" w:rsidRPr="001B0BE7">
        <w:rPr>
          <w:rFonts w:ascii="Arial" w:hAnsi="Arial" w:cs="Arial"/>
        </w:rPr>
        <w:t>in line with</w:t>
      </w:r>
      <w:r w:rsidRPr="001B0BE7">
        <w:rPr>
          <w:rFonts w:ascii="Arial" w:hAnsi="Arial" w:cs="Arial"/>
        </w:rPr>
        <w:t xml:space="preserve"> statutory requirements (Gatsby Benchmark 1).</w:t>
      </w:r>
    </w:p>
    <w:p w14:paraId="7D10CAF9" w14:textId="77777777" w:rsidR="00CF1A26" w:rsidRPr="00FA2FFD" w:rsidRDefault="00CF1A26" w:rsidP="009042B2">
      <w:pPr>
        <w:pStyle w:val="ListParagraph"/>
        <w:jc w:val="both"/>
        <w:rPr>
          <w:rFonts w:ascii="Arial" w:hAnsi="Arial" w:cs="Arial"/>
        </w:rPr>
      </w:pPr>
    </w:p>
    <w:p w14:paraId="43A337DD" w14:textId="0766BF5C" w:rsidR="00CF1A26" w:rsidRPr="001B0BE7" w:rsidRDefault="00B32BE0" w:rsidP="009042B2">
      <w:pPr>
        <w:pStyle w:val="ListParagraph"/>
        <w:numPr>
          <w:ilvl w:val="0"/>
          <w:numId w:val="21"/>
        </w:numPr>
        <w:jc w:val="both"/>
        <w:rPr>
          <w:rFonts w:ascii="Arial" w:hAnsi="Arial" w:cs="Arial"/>
        </w:rPr>
      </w:pPr>
      <w:r w:rsidRPr="001B0BE7">
        <w:rPr>
          <w:rFonts w:ascii="Arial" w:hAnsi="Arial" w:cs="Arial"/>
        </w:rPr>
        <w:t>Ensure all students have access to high-quality career and labour market information (LMI) to support informed decision-making and career planning (Gatsby Benchmark 2).</w:t>
      </w:r>
    </w:p>
    <w:p w14:paraId="27159DFE" w14:textId="77777777" w:rsidR="00CF1A26" w:rsidRPr="00FA2FFD" w:rsidRDefault="00CF1A26" w:rsidP="009042B2">
      <w:pPr>
        <w:pStyle w:val="ListParagraph"/>
        <w:jc w:val="both"/>
        <w:rPr>
          <w:rFonts w:ascii="Arial" w:hAnsi="Arial" w:cs="Arial"/>
        </w:rPr>
      </w:pPr>
    </w:p>
    <w:p w14:paraId="57A76443" w14:textId="5AB168E3" w:rsidR="00580533" w:rsidRPr="001B0BE7" w:rsidRDefault="00ED6D23" w:rsidP="009042B2">
      <w:pPr>
        <w:pStyle w:val="ListParagraph"/>
        <w:numPr>
          <w:ilvl w:val="0"/>
          <w:numId w:val="21"/>
        </w:numPr>
        <w:jc w:val="both"/>
        <w:rPr>
          <w:rFonts w:ascii="Arial" w:hAnsi="Arial" w:cs="Arial"/>
        </w:rPr>
      </w:pPr>
      <w:r w:rsidRPr="001B0BE7">
        <w:rPr>
          <w:rFonts w:ascii="Arial" w:hAnsi="Arial" w:cs="Arial"/>
        </w:rPr>
        <w:t>Provide tailored careers guidance and support, ensuring SEND and disadvantaged learners receive appropriate advice and opportunities (Gatsby Benchmark 3).</w:t>
      </w:r>
    </w:p>
    <w:p w14:paraId="4BBE4896" w14:textId="77777777" w:rsidR="00580533" w:rsidRPr="00FA2FFD" w:rsidRDefault="00580533" w:rsidP="009042B2">
      <w:pPr>
        <w:pStyle w:val="ListParagraph"/>
        <w:jc w:val="both"/>
        <w:rPr>
          <w:rFonts w:ascii="Arial" w:hAnsi="Arial" w:cs="Arial"/>
        </w:rPr>
      </w:pPr>
    </w:p>
    <w:p w14:paraId="5F25DE3A" w14:textId="3E1765C8" w:rsidR="00CF1A26" w:rsidRPr="001B0BE7" w:rsidRDefault="00E7050F" w:rsidP="009042B2">
      <w:pPr>
        <w:pStyle w:val="ListParagraph"/>
        <w:numPr>
          <w:ilvl w:val="0"/>
          <w:numId w:val="21"/>
        </w:numPr>
        <w:jc w:val="both"/>
        <w:rPr>
          <w:rFonts w:ascii="Arial" w:hAnsi="Arial" w:cs="Arial"/>
        </w:rPr>
      </w:pPr>
      <w:r w:rsidRPr="001B0BE7">
        <w:rPr>
          <w:rFonts w:ascii="Arial" w:hAnsi="Arial" w:cs="Arial"/>
        </w:rPr>
        <w:t>Work collaboratively with curriculum tutors to embed careers education across the curriculum, integrating career learning into subject teaching to enhance students’ employability and career readiness (Gatsby Benchmark 4).</w:t>
      </w:r>
    </w:p>
    <w:p w14:paraId="0ADB511B" w14:textId="77777777" w:rsidR="00E7050F" w:rsidRPr="00FA2FFD" w:rsidRDefault="00E7050F" w:rsidP="009042B2">
      <w:pPr>
        <w:pStyle w:val="ListParagraph"/>
        <w:jc w:val="both"/>
        <w:rPr>
          <w:rFonts w:ascii="Arial" w:hAnsi="Arial" w:cs="Arial"/>
        </w:rPr>
      </w:pPr>
    </w:p>
    <w:p w14:paraId="41BE0C2B" w14:textId="22C856E9" w:rsidR="005E554D" w:rsidRPr="001B0BE7" w:rsidRDefault="00880E35" w:rsidP="009042B2">
      <w:pPr>
        <w:pStyle w:val="ListParagraph"/>
        <w:numPr>
          <w:ilvl w:val="0"/>
          <w:numId w:val="21"/>
        </w:numPr>
        <w:jc w:val="both"/>
        <w:rPr>
          <w:rFonts w:ascii="Arial" w:hAnsi="Arial" w:cs="Arial"/>
          <w:i/>
          <w:iCs/>
        </w:rPr>
      </w:pPr>
      <w:r w:rsidRPr="001B0BE7">
        <w:rPr>
          <w:rFonts w:ascii="Arial" w:hAnsi="Arial" w:cs="Arial"/>
        </w:rPr>
        <w:t>Ensure all 16-18-year-old students have at least two meaningful employer encounters per year, relevant to their study programme, in line with statutory requirements (Gatsby Benchmark 5).</w:t>
      </w:r>
    </w:p>
    <w:p w14:paraId="32E5ADAE" w14:textId="77777777" w:rsidR="005E554D" w:rsidRPr="00FA2FFD" w:rsidRDefault="005E554D" w:rsidP="009042B2">
      <w:pPr>
        <w:pStyle w:val="ListParagraph"/>
        <w:jc w:val="both"/>
        <w:rPr>
          <w:rFonts w:ascii="Arial" w:hAnsi="Arial" w:cs="Arial"/>
          <w:i/>
          <w:iCs/>
        </w:rPr>
      </w:pPr>
    </w:p>
    <w:p w14:paraId="762720DC" w14:textId="2D7E7EE4" w:rsidR="00CF1A26" w:rsidRPr="001B0BE7" w:rsidRDefault="001B0BE7" w:rsidP="009042B2">
      <w:pPr>
        <w:ind w:left="720"/>
        <w:jc w:val="both"/>
        <w:rPr>
          <w:rFonts w:ascii="Arial" w:hAnsi="Arial" w:cs="Arial"/>
          <w:i/>
          <w:iCs/>
        </w:rPr>
      </w:pPr>
      <w:r>
        <w:rPr>
          <w:rFonts w:ascii="Arial" w:hAnsi="Arial" w:cs="Arial"/>
          <w:i/>
          <w:iCs/>
        </w:rPr>
        <w:t>“</w:t>
      </w:r>
      <w:r w:rsidR="003051DA" w:rsidRPr="001B0BE7">
        <w:rPr>
          <w:rFonts w:ascii="Arial" w:hAnsi="Arial" w:cs="Arial"/>
          <w:i/>
          <w:iCs/>
        </w:rPr>
        <w:t>A meaningful employer encounter is an interaction with an employer or employee that provides students with real-world insights into the workplace, employability skills, and career pathways, meeting Gatsby criteria</w:t>
      </w:r>
      <w:r w:rsidR="00B32BE0" w:rsidRPr="001B0BE7">
        <w:rPr>
          <w:rFonts w:ascii="Arial" w:hAnsi="Arial" w:cs="Arial"/>
          <w:i/>
          <w:iCs/>
        </w:rPr>
        <w:t>.</w:t>
      </w:r>
      <w:r w:rsidR="00CF1A26" w:rsidRPr="001B0BE7">
        <w:rPr>
          <w:rFonts w:ascii="Arial" w:hAnsi="Arial" w:cs="Arial"/>
          <w:i/>
          <w:iCs/>
        </w:rPr>
        <w:t xml:space="preserve">  </w:t>
      </w:r>
      <w:r w:rsidR="00B32BE0" w:rsidRPr="001B0BE7">
        <w:rPr>
          <w:rFonts w:ascii="Arial" w:hAnsi="Arial" w:cs="Arial"/>
          <w:i/>
          <w:iCs/>
        </w:rPr>
        <w:t>Activities may include guest lectures, employer mentoring, workplace projects, networking events, and mock interviews.</w:t>
      </w:r>
      <w:r>
        <w:rPr>
          <w:rFonts w:ascii="Arial" w:hAnsi="Arial" w:cs="Arial"/>
          <w:i/>
          <w:iCs/>
        </w:rPr>
        <w:t>”</w:t>
      </w:r>
    </w:p>
    <w:p w14:paraId="0C2F90C0" w14:textId="77777777" w:rsidR="005E554D" w:rsidRPr="00FA2FFD" w:rsidRDefault="005E554D" w:rsidP="009042B2">
      <w:pPr>
        <w:pStyle w:val="ListParagraph"/>
        <w:jc w:val="both"/>
        <w:rPr>
          <w:rFonts w:ascii="Arial" w:hAnsi="Arial" w:cs="Arial"/>
        </w:rPr>
      </w:pPr>
    </w:p>
    <w:p w14:paraId="3620F522" w14:textId="7DDFA28B" w:rsidR="00CA443D" w:rsidRPr="001B0BE7" w:rsidRDefault="00CA443D" w:rsidP="009042B2">
      <w:pPr>
        <w:pStyle w:val="ListParagraph"/>
        <w:numPr>
          <w:ilvl w:val="0"/>
          <w:numId w:val="21"/>
        </w:numPr>
        <w:jc w:val="both"/>
        <w:rPr>
          <w:rFonts w:ascii="Arial" w:hAnsi="Arial" w:cs="Arial"/>
        </w:rPr>
      </w:pPr>
      <w:r w:rsidRPr="001B0BE7">
        <w:rPr>
          <w:rFonts w:ascii="Arial" w:hAnsi="Arial" w:cs="Arial"/>
        </w:rPr>
        <w:t>Ensure all 16-18-year-old students have access to workplace experiences, such as work placements, site visits, or job shadowing, to develop industry awareness and employability skills, in line with statutory guidance (Gatsby Benchmark 6).</w:t>
      </w:r>
    </w:p>
    <w:p w14:paraId="372D142B" w14:textId="77777777" w:rsidR="00CA443D" w:rsidRPr="00FA2FFD" w:rsidRDefault="00CA443D" w:rsidP="009042B2">
      <w:pPr>
        <w:pStyle w:val="ListParagraph"/>
        <w:jc w:val="both"/>
        <w:rPr>
          <w:rFonts w:ascii="Arial" w:hAnsi="Arial" w:cs="Arial"/>
        </w:rPr>
      </w:pPr>
    </w:p>
    <w:p w14:paraId="02466519" w14:textId="10E5F168" w:rsidR="00B32BE0" w:rsidRPr="00FA2FFD" w:rsidRDefault="001B0BE7" w:rsidP="009042B2">
      <w:pPr>
        <w:pStyle w:val="ListParagraph"/>
        <w:jc w:val="both"/>
        <w:rPr>
          <w:rFonts w:ascii="Arial" w:hAnsi="Arial" w:cs="Arial"/>
          <w:i/>
          <w:iCs/>
        </w:rPr>
      </w:pPr>
      <w:r>
        <w:rPr>
          <w:rFonts w:ascii="Arial" w:hAnsi="Arial" w:cs="Arial"/>
          <w:i/>
          <w:iCs/>
        </w:rPr>
        <w:t>“</w:t>
      </w:r>
      <w:r w:rsidR="00B32BE0" w:rsidRPr="00FA2FFD">
        <w:rPr>
          <w:rFonts w:ascii="Arial" w:hAnsi="Arial" w:cs="Arial"/>
          <w:i/>
          <w:iCs/>
        </w:rPr>
        <w:t>An experience of the workplace involves first-hand engagement with a professional environment, such as work placements, industry placements, site visits, job shadowing, or virtual work experiences. These opportunities allow students to observe and participate in industry-relevant activities, particularly within the construction sector.</w:t>
      </w:r>
      <w:r>
        <w:rPr>
          <w:rFonts w:ascii="Arial" w:hAnsi="Arial" w:cs="Arial"/>
          <w:i/>
          <w:iCs/>
        </w:rPr>
        <w:t>”</w:t>
      </w:r>
    </w:p>
    <w:p w14:paraId="15079E4D" w14:textId="77777777" w:rsidR="00A15184" w:rsidRPr="00FA2FFD" w:rsidRDefault="00A15184" w:rsidP="009042B2">
      <w:pPr>
        <w:pStyle w:val="ListParagraph"/>
        <w:jc w:val="both"/>
        <w:rPr>
          <w:rFonts w:ascii="Arial" w:hAnsi="Arial" w:cs="Arial"/>
        </w:rPr>
      </w:pPr>
    </w:p>
    <w:p w14:paraId="61A1286D" w14:textId="5D89C02E" w:rsidR="00B32BE0" w:rsidRPr="001B0BE7" w:rsidRDefault="005C6CE1" w:rsidP="009042B2">
      <w:pPr>
        <w:pStyle w:val="ListParagraph"/>
        <w:numPr>
          <w:ilvl w:val="0"/>
          <w:numId w:val="21"/>
        </w:numPr>
        <w:jc w:val="both"/>
        <w:rPr>
          <w:rFonts w:ascii="Arial" w:hAnsi="Arial" w:cs="Arial"/>
        </w:rPr>
      </w:pPr>
      <w:r w:rsidRPr="001B0BE7">
        <w:rPr>
          <w:rFonts w:ascii="Arial" w:hAnsi="Arial" w:cs="Arial"/>
        </w:rPr>
        <w:t>Ensure all 16-18-year-old students engage with further and higher education providers, including universities, apprenticeship providers, and technical education pathways, to support informed progression choices</w:t>
      </w:r>
      <w:r w:rsidR="00B32BE0" w:rsidRPr="001B0BE7">
        <w:rPr>
          <w:rFonts w:ascii="Arial" w:hAnsi="Arial" w:cs="Arial"/>
        </w:rPr>
        <w:t xml:space="preserve"> (Gatsby Benchmark 7).</w:t>
      </w:r>
    </w:p>
    <w:p w14:paraId="2003DA4F" w14:textId="16774319" w:rsidR="00FB2B45" w:rsidRPr="00FA2FFD" w:rsidRDefault="00FB2B45" w:rsidP="009042B2">
      <w:pPr>
        <w:pStyle w:val="ListParagraph"/>
        <w:jc w:val="both"/>
        <w:rPr>
          <w:rFonts w:ascii="Arial" w:hAnsi="Arial" w:cs="Arial"/>
        </w:rPr>
      </w:pPr>
    </w:p>
    <w:p w14:paraId="415404AB" w14:textId="62B3265A" w:rsidR="006836BB" w:rsidRPr="001B0BE7" w:rsidRDefault="003529DD" w:rsidP="009042B2">
      <w:pPr>
        <w:pStyle w:val="ListParagraph"/>
        <w:numPr>
          <w:ilvl w:val="0"/>
          <w:numId w:val="21"/>
        </w:numPr>
        <w:jc w:val="both"/>
        <w:rPr>
          <w:rFonts w:ascii="Arial" w:hAnsi="Arial" w:cs="Arial"/>
        </w:rPr>
      </w:pPr>
      <w:r w:rsidRPr="001B0BE7">
        <w:rPr>
          <w:rFonts w:ascii="Arial" w:hAnsi="Arial" w:cs="Arial"/>
        </w:rPr>
        <w:t>Ensure all students have access to high-quality, impartial careers guidance, including the opportunity for a personal guidance interview with a Level 6 qualified careers adviser when needed, in line with statutory requirements (Gatsby Benchmark 8).</w:t>
      </w:r>
    </w:p>
    <w:p w14:paraId="6E4D208F" w14:textId="77777777" w:rsidR="003529DD" w:rsidRPr="00FA2FFD" w:rsidRDefault="003529DD" w:rsidP="009042B2">
      <w:pPr>
        <w:pStyle w:val="ListParagraph"/>
        <w:jc w:val="both"/>
        <w:rPr>
          <w:rFonts w:ascii="Arial" w:hAnsi="Arial" w:cs="Arial"/>
        </w:rPr>
      </w:pPr>
    </w:p>
    <w:p w14:paraId="472C050C" w14:textId="62C7D753" w:rsidR="00B32BE0" w:rsidRPr="001B0BE7" w:rsidRDefault="00B32BE0" w:rsidP="009042B2">
      <w:pPr>
        <w:pStyle w:val="ListParagraph"/>
        <w:numPr>
          <w:ilvl w:val="0"/>
          <w:numId w:val="21"/>
        </w:numPr>
        <w:jc w:val="both"/>
        <w:rPr>
          <w:rFonts w:ascii="Arial" w:hAnsi="Arial" w:cs="Arial"/>
        </w:rPr>
      </w:pPr>
      <w:r w:rsidRPr="001B0BE7">
        <w:rPr>
          <w:rFonts w:ascii="Arial" w:hAnsi="Arial" w:cs="Arial"/>
        </w:rPr>
        <w:t>Equip students with the knowledge, skills, and confidence to explore career pathways, set goals, and make informed choices about their future.</w:t>
      </w:r>
    </w:p>
    <w:p w14:paraId="650FBB9D" w14:textId="77777777" w:rsidR="006836BB" w:rsidRPr="00FA2FFD" w:rsidRDefault="006836BB" w:rsidP="009042B2">
      <w:pPr>
        <w:pStyle w:val="ListParagraph"/>
        <w:jc w:val="both"/>
        <w:rPr>
          <w:rFonts w:ascii="Arial" w:hAnsi="Arial" w:cs="Arial"/>
        </w:rPr>
      </w:pPr>
    </w:p>
    <w:p w14:paraId="6502B8A8" w14:textId="1C9AFB60" w:rsidR="0015572F" w:rsidRPr="001B0BE7" w:rsidRDefault="00B32BE0" w:rsidP="009042B2">
      <w:pPr>
        <w:pStyle w:val="ListParagraph"/>
        <w:numPr>
          <w:ilvl w:val="0"/>
          <w:numId w:val="21"/>
        </w:numPr>
        <w:jc w:val="both"/>
        <w:rPr>
          <w:rFonts w:ascii="Arial" w:hAnsi="Arial" w:cs="Arial"/>
        </w:rPr>
      </w:pPr>
      <w:r w:rsidRPr="001B0BE7">
        <w:rPr>
          <w:rFonts w:ascii="Arial" w:hAnsi="Arial" w:cs="Arial"/>
        </w:rPr>
        <w:t>Continuously review and improve careers provision using the CEC Compass+ evaluation tool, ensuring alignment with the Gatsby Benchmarks, CEC best practices, and the Matrix Standard to maintain excellence.</w:t>
      </w:r>
    </w:p>
    <w:p w14:paraId="35E5824C" w14:textId="39763552" w:rsidR="0015572F" w:rsidRPr="00B114D6" w:rsidRDefault="008F26F5" w:rsidP="009042B2">
      <w:pPr>
        <w:jc w:val="both"/>
        <w:rPr>
          <w:rFonts w:ascii="Arial" w:hAnsi="Arial" w:cs="Arial"/>
          <w:b/>
          <w:bCs/>
        </w:rPr>
      </w:pPr>
      <w:r w:rsidRPr="00B114D6">
        <w:rPr>
          <w:rFonts w:ascii="Arial" w:hAnsi="Arial" w:cs="Arial"/>
          <w:b/>
          <w:bCs/>
        </w:rPr>
        <w:t xml:space="preserve">College </w:t>
      </w:r>
      <w:r w:rsidR="00963EFE" w:rsidRPr="00B114D6">
        <w:rPr>
          <w:rFonts w:ascii="Arial" w:hAnsi="Arial" w:cs="Arial"/>
          <w:b/>
          <w:bCs/>
        </w:rPr>
        <w:t>Responsibilities:</w:t>
      </w:r>
    </w:p>
    <w:p w14:paraId="30948FAC" w14:textId="1F10C616" w:rsidR="00FB2048" w:rsidRPr="001B0BE7" w:rsidRDefault="00FB2048" w:rsidP="009042B2">
      <w:pPr>
        <w:pStyle w:val="ListParagraph"/>
        <w:numPr>
          <w:ilvl w:val="0"/>
          <w:numId w:val="21"/>
        </w:numPr>
        <w:jc w:val="both"/>
        <w:rPr>
          <w:rFonts w:ascii="Arial" w:hAnsi="Arial" w:cs="Arial"/>
        </w:rPr>
      </w:pPr>
      <w:r w:rsidRPr="001B0BE7">
        <w:rPr>
          <w:rFonts w:ascii="Arial" w:hAnsi="Arial" w:cs="Arial"/>
        </w:rPr>
        <w:t xml:space="preserve">Ensure the College has a clear careers strategy aligned with its vision, statutory guidance, and Gatsby Benchmarks, with strategic oversight provided by the Board of Governors, including a designated Link Governor for Careers. </w:t>
      </w:r>
    </w:p>
    <w:p w14:paraId="1AD5879F" w14:textId="77777777" w:rsidR="00F71CAA" w:rsidRPr="00F71CAA" w:rsidRDefault="00F71CAA" w:rsidP="009042B2">
      <w:pPr>
        <w:pStyle w:val="ListParagraph"/>
        <w:jc w:val="both"/>
        <w:rPr>
          <w:rFonts w:ascii="Arial" w:hAnsi="Arial" w:cs="Arial"/>
        </w:rPr>
      </w:pPr>
    </w:p>
    <w:p w14:paraId="5AC8881F" w14:textId="4B3122D1" w:rsidR="00F71CAA" w:rsidRPr="001B0BE7" w:rsidRDefault="00FB2048" w:rsidP="009042B2">
      <w:pPr>
        <w:pStyle w:val="ListParagraph"/>
        <w:numPr>
          <w:ilvl w:val="0"/>
          <w:numId w:val="21"/>
        </w:numPr>
        <w:jc w:val="both"/>
        <w:rPr>
          <w:rFonts w:ascii="Arial" w:hAnsi="Arial" w:cs="Arial"/>
        </w:rPr>
      </w:pPr>
      <w:r w:rsidRPr="001B0BE7">
        <w:rPr>
          <w:rFonts w:ascii="Arial" w:hAnsi="Arial" w:cs="Arial"/>
        </w:rPr>
        <w:t xml:space="preserve">Implement a whole-college approach to careers education, ensuring that CEIAG is embedded across the curriculum and integrated into all aspects of student learning. </w:t>
      </w:r>
    </w:p>
    <w:p w14:paraId="5A1B0119" w14:textId="77777777" w:rsidR="00F71CAA" w:rsidRPr="00F71CAA" w:rsidRDefault="00F71CAA" w:rsidP="009042B2">
      <w:pPr>
        <w:pStyle w:val="ListParagraph"/>
        <w:jc w:val="both"/>
        <w:rPr>
          <w:rFonts w:ascii="Arial" w:hAnsi="Arial" w:cs="Arial"/>
        </w:rPr>
      </w:pPr>
    </w:p>
    <w:p w14:paraId="3C312477" w14:textId="674CD8BC" w:rsidR="00FE24EC" w:rsidRPr="001B0BE7" w:rsidRDefault="00FB2048" w:rsidP="009042B2">
      <w:pPr>
        <w:pStyle w:val="ListParagraph"/>
        <w:numPr>
          <w:ilvl w:val="0"/>
          <w:numId w:val="21"/>
        </w:numPr>
        <w:jc w:val="both"/>
        <w:rPr>
          <w:rFonts w:ascii="Arial" w:hAnsi="Arial" w:cs="Arial"/>
        </w:rPr>
      </w:pPr>
      <w:r w:rsidRPr="001B0BE7">
        <w:rPr>
          <w:rFonts w:ascii="Arial" w:hAnsi="Arial" w:cs="Arial"/>
        </w:rPr>
        <w:t xml:space="preserve">Deliver a structured and progressive careers programme that provides education, meaningful employer encounters, workplace experiences where relevant, and access to personal guidance, equipping all students, including adult learners and apprentices, to make informed career decisions. </w:t>
      </w:r>
    </w:p>
    <w:p w14:paraId="4450C3F8" w14:textId="77777777" w:rsidR="00FE24EC" w:rsidRPr="00FE24EC" w:rsidRDefault="00FE24EC" w:rsidP="009042B2">
      <w:pPr>
        <w:pStyle w:val="ListParagraph"/>
        <w:jc w:val="both"/>
        <w:rPr>
          <w:rFonts w:ascii="Arial" w:hAnsi="Arial" w:cs="Arial"/>
        </w:rPr>
      </w:pPr>
    </w:p>
    <w:p w14:paraId="00838786" w14:textId="1E6773ED" w:rsidR="00B71263" w:rsidRPr="001B0BE7" w:rsidRDefault="00EF3600" w:rsidP="009042B2">
      <w:pPr>
        <w:pStyle w:val="ListParagraph"/>
        <w:numPr>
          <w:ilvl w:val="0"/>
          <w:numId w:val="21"/>
        </w:numPr>
        <w:jc w:val="both"/>
        <w:rPr>
          <w:rFonts w:ascii="Arial" w:hAnsi="Arial" w:cs="Arial"/>
        </w:rPr>
      </w:pPr>
      <w:r w:rsidRPr="001B0BE7">
        <w:rPr>
          <w:rFonts w:ascii="Arial" w:hAnsi="Arial" w:cs="Arial"/>
        </w:rPr>
        <w:t>Develop students’ transferable employability skills, supporting career success in the construction sector and other industries.</w:t>
      </w:r>
    </w:p>
    <w:p w14:paraId="6B380E02" w14:textId="77777777" w:rsidR="00EF3600" w:rsidRPr="00FE24EC" w:rsidRDefault="00EF3600" w:rsidP="009042B2">
      <w:pPr>
        <w:pStyle w:val="ListParagraph"/>
        <w:jc w:val="both"/>
        <w:rPr>
          <w:rFonts w:ascii="Arial" w:hAnsi="Arial" w:cs="Arial"/>
        </w:rPr>
      </w:pPr>
    </w:p>
    <w:p w14:paraId="19797DB5" w14:textId="13F9D5E0" w:rsidR="00FE24EC" w:rsidRPr="001B0BE7" w:rsidRDefault="00FB2048" w:rsidP="009042B2">
      <w:pPr>
        <w:pStyle w:val="ListParagraph"/>
        <w:numPr>
          <w:ilvl w:val="0"/>
          <w:numId w:val="21"/>
        </w:numPr>
        <w:jc w:val="both"/>
        <w:rPr>
          <w:rFonts w:ascii="Arial" w:hAnsi="Arial" w:cs="Arial"/>
        </w:rPr>
      </w:pPr>
      <w:r w:rsidRPr="001B0BE7">
        <w:rPr>
          <w:rFonts w:ascii="Arial" w:hAnsi="Arial" w:cs="Arial"/>
        </w:rPr>
        <w:t xml:space="preserve">Explore opportunities to engage parents and carers in careers provision, including initiatives such as information sessions, newsletters, and employer engagement events. </w:t>
      </w:r>
    </w:p>
    <w:p w14:paraId="64D858ED" w14:textId="77777777" w:rsidR="00FE24EC" w:rsidRPr="00FE24EC" w:rsidRDefault="00FE24EC" w:rsidP="009042B2">
      <w:pPr>
        <w:pStyle w:val="ListParagraph"/>
        <w:jc w:val="both"/>
        <w:rPr>
          <w:rFonts w:ascii="Arial" w:hAnsi="Arial" w:cs="Arial"/>
        </w:rPr>
      </w:pPr>
    </w:p>
    <w:p w14:paraId="5D3B4C4D" w14:textId="16E22C2B" w:rsidR="004F46E0" w:rsidRPr="001B0BE7" w:rsidRDefault="00FB2048" w:rsidP="009042B2">
      <w:pPr>
        <w:pStyle w:val="ListParagraph"/>
        <w:numPr>
          <w:ilvl w:val="0"/>
          <w:numId w:val="21"/>
        </w:numPr>
        <w:jc w:val="both"/>
        <w:rPr>
          <w:rFonts w:ascii="Arial" w:hAnsi="Arial" w:cs="Arial"/>
        </w:rPr>
      </w:pPr>
      <w:r w:rsidRPr="001B0BE7">
        <w:rPr>
          <w:rFonts w:ascii="Arial" w:hAnsi="Arial" w:cs="Arial"/>
        </w:rPr>
        <w:t xml:space="preserve">Ensure Careers Leaders and staff have access to CPD to maintain best practices in careers guidance. </w:t>
      </w:r>
    </w:p>
    <w:p w14:paraId="18771BDA" w14:textId="77777777" w:rsidR="004F46E0" w:rsidRPr="004F46E0" w:rsidRDefault="004F46E0" w:rsidP="009042B2">
      <w:pPr>
        <w:pStyle w:val="ListParagraph"/>
        <w:jc w:val="both"/>
        <w:rPr>
          <w:rFonts w:ascii="Arial" w:hAnsi="Arial" w:cs="Arial"/>
        </w:rPr>
      </w:pPr>
    </w:p>
    <w:p w14:paraId="48BCB669" w14:textId="0804BB91" w:rsidR="00FB2048" w:rsidRPr="001B0BE7" w:rsidRDefault="00FB2048" w:rsidP="009042B2">
      <w:pPr>
        <w:pStyle w:val="ListParagraph"/>
        <w:numPr>
          <w:ilvl w:val="0"/>
          <w:numId w:val="21"/>
        </w:numPr>
        <w:jc w:val="both"/>
        <w:rPr>
          <w:rFonts w:ascii="Arial" w:hAnsi="Arial" w:cs="Arial"/>
        </w:rPr>
      </w:pPr>
      <w:r w:rsidRPr="001B0BE7">
        <w:rPr>
          <w:rFonts w:ascii="Arial" w:hAnsi="Arial" w:cs="Arial"/>
        </w:rPr>
        <w:t xml:space="preserve">Monitor and evaluate the impact of careers provision by: </w:t>
      </w:r>
    </w:p>
    <w:p w14:paraId="152B03BF" w14:textId="77777777" w:rsidR="001B0BE7" w:rsidRPr="001B0BE7" w:rsidRDefault="001B0BE7" w:rsidP="009042B2">
      <w:pPr>
        <w:pStyle w:val="ListParagraph"/>
        <w:jc w:val="both"/>
        <w:rPr>
          <w:rFonts w:ascii="Arial" w:hAnsi="Arial" w:cs="Arial"/>
        </w:rPr>
      </w:pPr>
    </w:p>
    <w:p w14:paraId="41E80415" w14:textId="5F8890E1" w:rsidR="00E4414B" w:rsidRPr="00154823" w:rsidRDefault="00FB2048" w:rsidP="009042B2">
      <w:pPr>
        <w:pStyle w:val="ListParagraph"/>
        <w:numPr>
          <w:ilvl w:val="1"/>
          <w:numId w:val="21"/>
        </w:numPr>
        <w:jc w:val="both"/>
        <w:rPr>
          <w:rFonts w:ascii="Arial" w:hAnsi="Arial" w:cs="Arial"/>
        </w:rPr>
      </w:pPr>
      <w:r w:rsidRPr="00154823">
        <w:rPr>
          <w:rFonts w:ascii="Arial" w:hAnsi="Arial" w:cs="Arial"/>
        </w:rPr>
        <w:t xml:space="preserve">Reviewing the careers policy annually in line with DfE and CEC </w:t>
      </w:r>
      <w:r w:rsidR="004F46E0" w:rsidRPr="00154823">
        <w:rPr>
          <w:rFonts w:ascii="Arial" w:hAnsi="Arial" w:cs="Arial"/>
        </w:rPr>
        <w:t>and Ofsted</w:t>
      </w:r>
      <w:r w:rsidR="00E4414B" w:rsidRPr="00154823">
        <w:rPr>
          <w:rFonts w:ascii="Arial" w:hAnsi="Arial" w:cs="Arial"/>
        </w:rPr>
        <w:t xml:space="preserve"> </w:t>
      </w:r>
      <w:r w:rsidR="004F46E0" w:rsidRPr="00154823">
        <w:rPr>
          <w:rFonts w:ascii="Arial" w:hAnsi="Arial" w:cs="Arial"/>
        </w:rPr>
        <w:t xml:space="preserve">expectations </w:t>
      </w:r>
    </w:p>
    <w:p w14:paraId="69D16C83" w14:textId="46335930" w:rsidR="00FB2048" w:rsidRPr="00154823" w:rsidRDefault="00FB2048" w:rsidP="009042B2">
      <w:pPr>
        <w:pStyle w:val="ListParagraph"/>
        <w:numPr>
          <w:ilvl w:val="1"/>
          <w:numId w:val="21"/>
        </w:numPr>
        <w:jc w:val="both"/>
        <w:rPr>
          <w:rFonts w:ascii="Arial" w:hAnsi="Arial" w:cs="Arial"/>
        </w:rPr>
      </w:pPr>
      <w:r w:rsidRPr="00154823">
        <w:rPr>
          <w:rFonts w:ascii="Arial" w:hAnsi="Arial" w:cs="Arial"/>
        </w:rPr>
        <w:t>Using the Compass+ Careers Evaluation Tool to assess provision against Gatsby Benchmarks and drive continuous improvement.</w:t>
      </w:r>
    </w:p>
    <w:p w14:paraId="223CCB83" w14:textId="70116941" w:rsidR="00FB2048" w:rsidRPr="00FE24EC" w:rsidRDefault="00FB2048" w:rsidP="009042B2">
      <w:pPr>
        <w:pStyle w:val="ListParagraph"/>
        <w:numPr>
          <w:ilvl w:val="1"/>
          <w:numId w:val="21"/>
        </w:numPr>
        <w:jc w:val="both"/>
        <w:rPr>
          <w:rFonts w:ascii="Arial" w:hAnsi="Arial" w:cs="Arial"/>
        </w:rPr>
      </w:pPr>
      <w:r w:rsidRPr="00FE24EC">
        <w:rPr>
          <w:rFonts w:ascii="Arial" w:hAnsi="Arial" w:cs="Arial"/>
        </w:rPr>
        <w:t>Assessing the impact of careers interventions through structured reviews and feedback, including data tracking where appropriate, to ensure continuous improvement (Gatsby Benchmark 1).</w:t>
      </w:r>
    </w:p>
    <w:p w14:paraId="511EFC36" w14:textId="043F90D0" w:rsidR="00FE24EC" w:rsidRPr="00335A91" w:rsidRDefault="00FB2048" w:rsidP="009042B2">
      <w:pPr>
        <w:pStyle w:val="ListParagraph"/>
        <w:numPr>
          <w:ilvl w:val="1"/>
          <w:numId w:val="21"/>
        </w:numPr>
        <w:jc w:val="both"/>
        <w:rPr>
          <w:rFonts w:ascii="Arial" w:hAnsi="Arial" w:cs="Arial"/>
        </w:rPr>
      </w:pPr>
      <w:r w:rsidRPr="00FE24EC">
        <w:rPr>
          <w:rFonts w:ascii="Arial" w:hAnsi="Arial" w:cs="Arial"/>
        </w:rPr>
        <w:t>Gathering regular feedback from students, parents, employers, and key stakeholders to ensure careers activities remain relevant and effective.</w:t>
      </w:r>
    </w:p>
    <w:p w14:paraId="75EB64AB" w14:textId="2A8A2AFB" w:rsidR="00A16BA4" w:rsidRPr="00DD394C" w:rsidRDefault="00A16BA4" w:rsidP="009042B2">
      <w:pPr>
        <w:jc w:val="both"/>
        <w:rPr>
          <w:rFonts w:ascii="Arial" w:hAnsi="Arial" w:cs="Arial"/>
          <w:b/>
          <w:bCs/>
        </w:rPr>
      </w:pPr>
      <w:r w:rsidRPr="00B114D6">
        <w:rPr>
          <w:rFonts w:ascii="Arial" w:hAnsi="Arial" w:cs="Arial"/>
          <w:b/>
          <w:bCs/>
        </w:rPr>
        <w:t>Provider Access</w:t>
      </w:r>
      <w:r w:rsidR="00DD394C">
        <w:rPr>
          <w:rFonts w:ascii="Arial" w:hAnsi="Arial" w:cs="Arial"/>
          <w:b/>
          <w:bCs/>
        </w:rPr>
        <w:t xml:space="preserve"> </w:t>
      </w:r>
      <w:r w:rsidRPr="00A16BA4">
        <w:rPr>
          <w:rFonts w:ascii="Arial" w:hAnsi="Arial" w:cs="Arial"/>
        </w:rPr>
        <w:t xml:space="preserve">LCB follows best practice by ensuring students have access to a range of external training and education providers. This includes universities, apprenticeship providers, and technical education pathways, with a particular focus on opportunities within the </w:t>
      </w:r>
      <w:r w:rsidRPr="00A16BA4">
        <w:rPr>
          <w:rFonts w:ascii="Arial" w:hAnsi="Arial" w:cs="Arial"/>
        </w:rPr>
        <w:lastRenderedPageBreak/>
        <w:t>construction sector</w:t>
      </w:r>
      <w:r w:rsidR="0037045B">
        <w:rPr>
          <w:rFonts w:ascii="Arial" w:hAnsi="Arial" w:cs="Arial"/>
        </w:rPr>
        <w:t>.</w:t>
      </w:r>
      <w:r w:rsidR="00E10634">
        <w:rPr>
          <w:rFonts w:ascii="Arial" w:hAnsi="Arial" w:cs="Arial"/>
        </w:rPr>
        <w:t xml:space="preserve"> (</w:t>
      </w:r>
      <w:r w:rsidR="00E10634" w:rsidRPr="00E10634">
        <w:rPr>
          <w:rFonts w:ascii="Arial" w:hAnsi="Arial" w:cs="Arial"/>
          <w:i/>
          <w:iCs/>
        </w:rPr>
        <w:t>Further Education colleges do not have a statutory duty under the Provider Access Legislation</w:t>
      </w:r>
      <w:r w:rsidR="00E10634">
        <w:rPr>
          <w:rFonts w:ascii="Arial" w:hAnsi="Arial" w:cs="Arial"/>
          <w:i/>
          <w:iCs/>
        </w:rPr>
        <w:t>)</w:t>
      </w:r>
      <w:r w:rsidR="00E10634" w:rsidRPr="00E10634">
        <w:rPr>
          <w:rFonts w:ascii="Arial" w:hAnsi="Arial" w:cs="Arial"/>
          <w:b/>
          <w:bCs/>
          <w:i/>
          <w:iCs/>
        </w:rPr>
        <w:t>.</w:t>
      </w:r>
    </w:p>
    <w:p w14:paraId="5670B0EB" w14:textId="77777777" w:rsidR="0037045B" w:rsidRPr="0037045B" w:rsidRDefault="0037045B" w:rsidP="009042B2">
      <w:pPr>
        <w:jc w:val="both"/>
        <w:rPr>
          <w:rFonts w:ascii="Arial" w:hAnsi="Arial" w:cs="Arial"/>
          <w:b/>
          <w:bCs/>
        </w:rPr>
      </w:pPr>
      <w:r w:rsidRPr="0037045B">
        <w:rPr>
          <w:rFonts w:ascii="Arial" w:hAnsi="Arial" w:cs="Arial"/>
          <w:b/>
          <w:bCs/>
        </w:rPr>
        <w:t>Links with Other Organisations</w:t>
      </w:r>
    </w:p>
    <w:p w14:paraId="3C3FFE37" w14:textId="77777777" w:rsidR="0037045B" w:rsidRPr="0037045B" w:rsidRDefault="0037045B" w:rsidP="009042B2">
      <w:pPr>
        <w:jc w:val="both"/>
        <w:rPr>
          <w:rFonts w:ascii="Arial" w:hAnsi="Arial" w:cs="Arial"/>
        </w:rPr>
      </w:pPr>
      <w:r w:rsidRPr="0037045B">
        <w:rPr>
          <w:rFonts w:ascii="Arial" w:hAnsi="Arial" w:cs="Arial"/>
        </w:rPr>
        <w:t>Leeds College of Building collaborates with a range of external organisations to enhance careers education, employer engagement, and student progression:</w:t>
      </w:r>
    </w:p>
    <w:p w14:paraId="500D4BBE" w14:textId="77777777" w:rsidR="0023427C" w:rsidRDefault="00876BF7" w:rsidP="009042B2">
      <w:pPr>
        <w:numPr>
          <w:ilvl w:val="0"/>
          <w:numId w:val="17"/>
        </w:numPr>
        <w:jc w:val="both"/>
        <w:rPr>
          <w:rFonts w:ascii="Arial" w:hAnsi="Arial" w:cs="Arial"/>
        </w:rPr>
      </w:pPr>
      <w:r w:rsidRPr="00876BF7">
        <w:rPr>
          <w:rFonts w:ascii="Arial" w:hAnsi="Arial" w:cs="Arial"/>
        </w:rPr>
        <w:t>The College collaborates with over 600 employers, particularly in the construction sector, to provide students with meaningful employer encounters, workplace experiences, apprenticeships, and industry-led projects that enhance career readiness</w:t>
      </w:r>
    </w:p>
    <w:p w14:paraId="108D4E82" w14:textId="77777777" w:rsidR="00BA0557" w:rsidRDefault="0037045B" w:rsidP="009042B2">
      <w:pPr>
        <w:numPr>
          <w:ilvl w:val="0"/>
          <w:numId w:val="17"/>
        </w:numPr>
        <w:jc w:val="both"/>
        <w:rPr>
          <w:rFonts w:ascii="Arial" w:hAnsi="Arial" w:cs="Arial"/>
        </w:rPr>
      </w:pPr>
      <w:r w:rsidRPr="0037045B">
        <w:rPr>
          <w:rFonts w:ascii="Arial" w:hAnsi="Arial" w:cs="Arial"/>
        </w:rPr>
        <w:t xml:space="preserve">Education &amp; Careers Networks: </w:t>
      </w:r>
      <w:r w:rsidR="00BA0557" w:rsidRPr="00BA0557">
        <w:rPr>
          <w:rFonts w:ascii="Arial" w:hAnsi="Arial" w:cs="Arial"/>
        </w:rPr>
        <w:t>Collaboration with schools, further education colleges, universities, the Education Development Trust, the National Careers Service, the Department for Work and Pensions (DWP) Schools and Colleges Team, and Leeds Employment and Skills Team ensures students receive high-quality careers information, advice, and guidance (IAG).</w:t>
      </w:r>
    </w:p>
    <w:p w14:paraId="07F4E99F" w14:textId="17D119EB" w:rsidR="0037045B" w:rsidRPr="0037045B" w:rsidRDefault="0037045B" w:rsidP="009042B2">
      <w:pPr>
        <w:numPr>
          <w:ilvl w:val="0"/>
          <w:numId w:val="17"/>
        </w:numPr>
        <w:jc w:val="both"/>
        <w:rPr>
          <w:rFonts w:ascii="Arial" w:hAnsi="Arial" w:cs="Arial"/>
        </w:rPr>
      </w:pPr>
      <w:r w:rsidRPr="0037045B">
        <w:rPr>
          <w:rFonts w:ascii="Arial" w:hAnsi="Arial" w:cs="Arial"/>
        </w:rPr>
        <w:t xml:space="preserve">Local CEIAG Networks: The College’s Careers Leader and Careers Adviser actively engage in </w:t>
      </w:r>
      <w:r w:rsidR="00CC7BF3">
        <w:rPr>
          <w:rFonts w:ascii="Arial" w:hAnsi="Arial" w:cs="Arial"/>
        </w:rPr>
        <w:t xml:space="preserve">the </w:t>
      </w:r>
      <w:r w:rsidRPr="0037045B">
        <w:rPr>
          <w:rFonts w:ascii="Arial" w:hAnsi="Arial" w:cs="Arial"/>
        </w:rPr>
        <w:t xml:space="preserve">local </w:t>
      </w:r>
      <w:r w:rsidR="00C861B6">
        <w:rPr>
          <w:rFonts w:ascii="Arial" w:hAnsi="Arial" w:cs="Arial"/>
        </w:rPr>
        <w:t>Le</w:t>
      </w:r>
      <w:r w:rsidR="005170C9">
        <w:rPr>
          <w:rFonts w:ascii="Arial" w:hAnsi="Arial" w:cs="Arial"/>
        </w:rPr>
        <w:t>eds Learning Alliance</w:t>
      </w:r>
      <w:r w:rsidR="00487400">
        <w:rPr>
          <w:rFonts w:ascii="Arial" w:hAnsi="Arial" w:cs="Arial"/>
        </w:rPr>
        <w:t xml:space="preserve"> and </w:t>
      </w:r>
      <w:r w:rsidR="00CC7BF3">
        <w:rPr>
          <w:rFonts w:ascii="Arial" w:hAnsi="Arial" w:cs="Arial"/>
        </w:rPr>
        <w:t xml:space="preserve">Leeds for Learning networks </w:t>
      </w:r>
      <w:r w:rsidR="00CC7BF3" w:rsidRPr="0037045B">
        <w:rPr>
          <w:rFonts w:ascii="Arial" w:hAnsi="Arial" w:cs="Arial"/>
        </w:rPr>
        <w:t>Careers Education, Information, Advice, and Guidance (CEIAG)</w:t>
      </w:r>
      <w:r w:rsidR="005170C9">
        <w:rPr>
          <w:rFonts w:ascii="Arial" w:hAnsi="Arial" w:cs="Arial"/>
        </w:rPr>
        <w:t xml:space="preserve"> </w:t>
      </w:r>
      <w:r w:rsidRPr="0037045B">
        <w:rPr>
          <w:rFonts w:ascii="Arial" w:hAnsi="Arial" w:cs="Arial"/>
        </w:rPr>
        <w:t xml:space="preserve">sharing best practices and staying informed on </w:t>
      </w:r>
      <w:r w:rsidR="00CC7BF3">
        <w:rPr>
          <w:rFonts w:ascii="Arial" w:hAnsi="Arial" w:cs="Arial"/>
        </w:rPr>
        <w:t xml:space="preserve">local, regional, and </w:t>
      </w:r>
      <w:r w:rsidRPr="0037045B">
        <w:rPr>
          <w:rFonts w:ascii="Arial" w:hAnsi="Arial" w:cs="Arial"/>
        </w:rPr>
        <w:t>national careers developments.</w:t>
      </w:r>
    </w:p>
    <w:p w14:paraId="59B33EE5" w14:textId="77777777" w:rsidR="0037045B" w:rsidRPr="0037045B" w:rsidRDefault="0037045B" w:rsidP="009042B2">
      <w:pPr>
        <w:numPr>
          <w:ilvl w:val="0"/>
          <w:numId w:val="17"/>
        </w:numPr>
        <w:jc w:val="both"/>
        <w:rPr>
          <w:rFonts w:ascii="Arial" w:hAnsi="Arial" w:cs="Arial"/>
        </w:rPr>
      </w:pPr>
      <w:r w:rsidRPr="0037045B">
        <w:rPr>
          <w:rFonts w:ascii="Arial" w:hAnsi="Arial" w:cs="Arial"/>
        </w:rPr>
        <w:t>Quality Assurance: Leeds College of Building holds the Matrix Standard, demonstrating its commitment to high-quality careers guidance. The most recent reaccreditation was achieved in October 2024.</w:t>
      </w:r>
    </w:p>
    <w:p w14:paraId="4C80B1A1" w14:textId="77777777" w:rsidR="0037045B" w:rsidRPr="0037045B" w:rsidRDefault="0037045B" w:rsidP="009042B2">
      <w:pPr>
        <w:numPr>
          <w:ilvl w:val="0"/>
          <w:numId w:val="17"/>
        </w:numPr>
        <w:jc w:val="both"/>
        <w:rPr>
          <w:rFonts w:ascii="Arial" w:hAnsi="Arial" w:cs="Arial"/>
        </w:rPr>
      </w:pPr>
      <w:r w:rsidRPr="0037045B">
        <w:rPr>
          <w:rFonts w:ascii="Arial" w:hAnsi="Arial" w:cs="Arial"/>
        </w:rPr>
        <w:t>West Yorkshire Combined Authority (WYCA) &amp; Careers Hub: Through Careers &amp; Enterprise Company (CEC) funding, WYCA provides a Careers Hub and Enterprise Coordinator support, helping the College strengthen employer engagement and careers provision in alignment with Gatsby Benchmarks.</w:t>
      </w:r>
    </w:p>
    <w:p w14:paraId="0E0C31EA" w14:textId="77777777" w:rsidR="0037045B" w:rsidRPr="00FA2FFD" w:rsidRDefault="0037045B" w:rsidP="00CD39B4">
      <w:pPr>
        <w:rPr>
          <w:rFonts w:ascii="Arial" w:hAnsi="Arial" w:cs="Arial"/>
        </w:rPr>
      </w:pPr>
    </w:p>
    <w:p w14:paraId="3B24D62C" w14:textId="77777777" w:rsidR="0015572F" w:rsidRPr="00FA2FFD" w:rsidRDefault="0015572F" w:rsidP="00CD39B4">
      <w:pPr>
        <w:rPr>
          <w:rFonts w:ascii="Arial" w:hAnsi="Arial" w:cs="Arial"/>
        </w:rPr>
      </w:pPr>
    </w:p>
    <w:p w14:paraId="21D52D57" w14:textId="77777777" w:rsidR="0015572F" w:rsidRPr="00FA2FFD" w:rsidRDefault="0015572F" w:rsidP="00CD39B4">
      <w:pPr>
        <w:rPr>
          <w:rFonts w:ascii="Arial" w:hAnsi="Arial" w:cs="Arial"/>
        </w:rPr>
      </w:pPr>
    </w:p>
    <w:p w14:paraId="4F3E4531" w14:textId="77777777" w:rsidR="0015572F" w:rsidRPr="00FA2FFD" w:rsidRDefault="0015572F" w:rsidP="00CD39B4">
      <w:pPr>
        <w:rPr>
          <w:rFonts w:ascii="Arial" w:hAnsi="Arial" w:cs="Arial"/>
        </w:rPr>
      </w:pPr>
    </w:p>
    <w:p w14:paraId="2E14117F" w14:textId="77777777" w:rsidR="001E3E40" w:rsidRPr="00FA2FFD" w:rsidRDefault="001E3E40" w:rsidP="00261D9C">
      <w:pPr>
        <w:rPr>
          <w:rFonts w:ascii="Arial" w:hAnsi="Arial" w:cs="Arial"/>
        </w:rPr>
      </w:pPr>
    </w:p>
    <w:sectPr w:rsidR="001E3E40" w:rsidRPr="00FA2F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506B1"/>
    <w:multiLevelType w:val="hybridMultilevel"/>
    <w:tmpl w:val="C380B99A"/>
    <w:lvl w:ilvl="0" w:tplc="167CD26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80F08"/>
    <w:multiLevelType w:val="hybridMultilevel"/>
    <w:tmpl w:val="0D0E2DC2"/>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071729F"/>
    <w:multiLevelType w:val="hybridMultilevel"/>
    <w:tmpl w:val="8D905B04"/>
    <w:lvl w:ilvl="0" w:tplc="E99E0420">
      <w:numFmt w:val="bullet"/>
      <w:lvlText w:val="-"/>
      <w:lvlJc w:val="left"/>
      <w:pPr>
        <w:ind w:left="720" w:hanging="360"/>
      </w:pPr>
      <w:rPr>
        <w:rFonts w:ascii="Segoe UI Symbol" w:eastAsiaTheme="minorHAnsi" w:hAnsi="Segoe UI Symbol" w:cs="Segoe UI 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8D1FB8"/>
    <w:multiLevelType w:val="multilevel"/>
    <w:tmpl w:val="F6AA8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A37528"/>
    <w:multiLevelType w:val="hybridMultilevel"/>
    <w:tmpl w:val="CEDA1BC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CD00294"/>
    <w:multiLevelType w:val="multilevel"/>
    <w:tmpl w:val="34063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2C304D"/>
    <w:multiLevelType w:val="multilevel"/>
    <w:tmpl w:val="83D04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DC59FF"/>
    <w:multiLevelType w:val="multilevel"/>
    <w:tmpl w:val="C06C7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120817"/>
    <w:multiLevelType w:val="multilevel"/>
    <w:tmpl w:val="0F686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414EEF"/>
    <w:multiLevelType w:val="multilevel"/>
    <w:tmpl w:val="D98A3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2D590B"/>
    <w:multiLevelType w:val="hybridMultilevel"/>
    <w:tmpl w:val="768A02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19E1407"/>
    <w:multiLevelType w:val="hybridMultilevel"/>
    <w:tmpl w:val="5D005BD0"/>
    <w:lvl w:ilvl="0" w:tplc="167CD26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7E081E"/>
    <w:multiLevelType w:val="multilevel"/>
    <w:tmpl w:val="E93684FC"/>
    <w:lvl w:ilvl="0">
      <w:numFmt w:val="bullet"/>
      <w:lvlText w:val="-"/>
      <w:lvlJc w:val="left"/>
      <w:pPr>
        <w:tabs>
          <w:tab w:val="num" w:pos="720"/>
        </w:tabs>
        <w:ind w:left="720" w:hanging="360"/>
      </w:pPr>
      <w:rPr>
        <w:rFonts w:ascii="Aptos" w:eastAsiaTheme="minorHAnsi" w:hAnsi="Aptos"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D668B3"/>
    <w:multiLevelType w:val="multilevel"/>
    <w:tmpl w:val="E7CE7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5E0D6B"/>
    <w:multiLevelType w:val="hybridMultilevel"/>
    <w:tmpl w:val="0C962AE2"/>
    <w:lvl w:ilvl="0" w:tplc="167CD26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110967"/>
    <w:multiLevelType w:val="multilevel"/>
    <w:tmpl w:val="B06CD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B22C92"/>
    <w:multiLevelType w:val="hybridMultilevel"/>
    <w:tmpl w:val="6248E01C"/>
    <w:lvl w:ilvl="0" w:tplc="53041268">
      <w:start w:val="2"/>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077A32"/>
    <w:multiLevelType w:val="multilevel"/>
    <w:tmpl w:val="63B0B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660872"/>
    <w:multiLevelType w:val="hybridMultilevel"/>
    <w:tmpl w:val="40600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94707C"/>
    <w:multiLevelType w:val="multilevel"/>
    <w:tmpl w:val="4C50F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235176"/>
    <w:multiLevelType w:val="multilevel"/>
    <w:tmpl w:val="AB788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6431846">
    <w:abstractNumId w:val="6"/>
  </w:num>
  <w:num w:numId="2" w16cid:durableId="140002231">
    <w:abstractNumId w:val="15"/>
  </w:num>
  <w:num w:numId="3" w16cid:durableId="613904791">
    <w:abstractNumId w:val="11"/>
  </w:num>
  <w:num w:numId="4" w16cid:durableId="1015108657">
    <w:abstractNumId w:val="17"/>
  </w:num>
  <w:num w:numId="5" w16cid:durableId="976298634">
    <w:abstractNumId w:val="8"/>
  </w:num>
  <w:num w:numId="6" w16cid:durableId="635914529">
    <w:abstractNumId w:val="20"/>
  </w:num>
  <w:num w:numId="7" w16cid:durableId="992678368">
    <w:abstractNumId w:val="9"/>
  </w:num>
  <w:num w:numId="8" w16cid:durableId="538392514">
    <w:abstractNumId w:val="14"/>
  </w:num>
  <w:num w:numId="9" w16cid:durableId="1388722870">
    <w:abstractNumId w:val="7"/>
  </w:num>
  <w:num w:numId="10" w16cid:durableId="974991920">
    <w:abstractNumId w:val="0"/>
  </w:num>
  <w:num w:numId="11" w16cid:durableId="244190371">
    <w:abstractNumId w:val="12"/>
  </w:num>
  <w:num w:numId="12" w16cid:durableId="1448046271">
    <w:abstractNumId w:val="5"/>
  </w:num>
  <w:num w:numId="13" w16cid:durableId="1980650662">
    <w:abstractNumId w:val="19"/>
  </w:num>
  <w:num w:numId="14" w16cid:durableId="1045759839">
    <w:abstractNumId w:val="4"/>
  </w:num>
  <w:num w:numId="15" w16cid:durableId="1944604631">
    <w:abstractNumId w:val="10"/>
  </w:num>
  <w:num w:numId="16" w16cid:durableId="1371760776">
    <w:abstractNumId w:val="1"/>
  </w:num>
  <w:num w:numId="17" w16cid:durableId="276986451">
    <w:abstractNumId w:val="13"/>
  </w:num>
  <w:num w:numId="18" w16cid:durableId="648436981">
    <w:abstractNumId w:val="3"/>
  </w:num>
  <w:num w:numId="19" w16cid:durableId="2010907246">
    <w:abstractNumId w:val="2"/>
  </w:num>
  <w:num w:numId="20" w16cid:durableId="2031300666">
    <w:abstractNumId w:val="18"/>
  </w:num>
  <w:num w:numId="21" w16cid:durableId="6874133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D9C"/>
    <w:rsid w:val="0002356E"/>
    <w:rsid w:val="0003427F"/>
    <w:rsid w:val="000927CC"/>
    <w:rsid w:val="000B5498"/>
    <w:rsid w:val="00112FF4"/>
    <w:rsid w:val="00125CA4"/>
    <w:rsid w:val="0013734B"/>
    <w:rsid w:val="001439E5"/>
    <w:rsid w:val="00150325"/>
    <w:rsid w:val="00154823"/>
    <w:rsid w:val="0015572F"/>
    <w:rsid w:val="00157D4B"/>
    <w:rsid w:val="001B0BE7"/>
    <w:rsid w:val="001C04F3"/>
    <w:rsid w:val="001C48A9"/>
    <w:rsid w:val="001E062A"/>
    <w:rsid w:val="001E3E40"/>
    <w:rsid w:val="00200216"/>
    <w:rsid w:val="002058A4"/>
    <w:rsid w:val="00233541"/>
    <w:rsid w:val="0023427C"/>
    <w:rsid w:val="00261D9C"/>
    <w:rsid w:val="0028719C"/>
    <w:rsid w:val="00290B3D"/>
    <w:rsid w:val="003051DA"/>
    <w:rsid w:val="00335A91"/>
    <w:rsid w:val="003529DD"/>
    <w:rsid w:val="0037045B"/>
    <w:rsid w:val="003873F4"/>
    <w:rsid w:val="003A2177"/>
    <w:rsid w:val="00403A73"/>
    <w:rsid w:val="00403F6B"/>
    <w:rsid w:val="00425D34"/>
    <w:rsid w:val="00462F91"/>
    <w:rsid w:val="00487400"/>
    <w:rsid w:val="0049713A"/>
    <w:rsid w:val="004C63DA"/>
    <w:rsid w:val="004D73EF"/>
    <w:rsid w:val="004F46E0"/>
    <w:rsid w:val="005014AD"/>
    <w:rsid w:val="005170C9"/>
    <w:rsid w:val="00580533"/>
    <w:rsid w:val="005C1482"/>
    <w:rsid w:val="005C2948"/>
    <w:rsid w:val="005C6CE1"/>
    <w:rsid w:val="005D2873"/>
    <w:rsid w:val="005E554D"/>
    <w:rsid w:val="00602548"/>
    <w:rsid w:val="006836BB"/>
    <w:rsid w:val="006933F4"/>
    <w:rsid w:val="006B1D99"/>
    <w:rsid w:val="006D2741"/>
    <w:rsid w:val="006D5F40"/>
    <w:rsid w:val="00725C45"/>
    <w:rsid w:val="007B5833"/>
    <w:rsid w:val="0080419E"/>
    <w:rsid w:val="00851042"/>
    <w:rsid w:val="008749F5"/>
    <w:rsid w:val="00876BF7"/>
    <w:rsid w:val="00880E35"/>
    <w:rsid w:val="00884142"/>
    <w:rsid w:val="0089436E"/>
    <w:rsid w:val="008A2FB1"/>
    <w:rsid w:val="008C719C"/>
    <w:rsid w:val="008D2607"/>
    <w:rsid w:val="008F26F5"/>
    <w:rsid w:val="009042B2"/>
    <w:rsid w:val="009312B7"/>
    <w:rsid w:val="00963EFE"/>
    <w:rsid w:val="009732BA"/>
    <w:rsid w:val="00A15184"/>
    <w:rsid w:val="00A16BA4"/>
    <w:rsid w:val="00A3219D"/>
    <w:rsid w:val="00AA71B4"/>
    <w:rsid w:val="00AB5A84"/>
    <w:rsid w:val="00B114D6"/>
    <w:rsid w:val="00B22B8E"/>
    <w:rsid w:val="00B32BE0"/>
    <w:rsid w:val="00B71263"/>
    <w:rsid w:val="00BA0557"/>
    <w:rsid w:val="00BB797F"/>
    <w:rsid w:val="00BB7B67"/>
    <w:rsid w:val="00BC4CB7"/>
    <w:rsid w:val="00C36E9D"/>
    <w:rsid w:val="00C861B6"/>
    <w:rsid w:val="00CA443D"/>
    <w:rsid w:val="00CA48AF"/>
    <w:rsid w:val="00CC48B2"/>
    <w:rsid w:val="00CC7BF3"/>
    <w:rsid w:val="00CD39B4"/>
    <w:rsid w:val="00CF1A26"/>
    <w:rsid w:val="00D17CB6"/>
    <w:rsid w:val="00D632FA"/>
    <w:rsid w:val="00DD394C"/>
    <w:rsid w:val="00E10634"/>
    <w:rsid w:val="00E4414B"/>
    <w:rsid w:val="00E7050F"/>
    <w:rsid w:val="00E90DBD"/>
    <w:rsid w:val="00ED22E4"/>
    <w:rsid w:val="00ED6D23"/>
    <w:rsid w:val="00EF3600"/>
    <w:rsid w:val="00F113EA"/>
    <w:rsid w:val="00F65C4E"/>
    <w:rsid w:val="00F71CAA"/>
    <w:rsid w:val="00F82182"/>
    <w:rsid w:val="00F85B48"/>
    <w:rsid w:val="00F97EB2"/>
    <w:rsid w:val="00FA2FFD"/>
    <w:rsid w:val="00FB2048"/>
    <w:rsid w:val="00FB2B45"/>
    <w:rsid w:val="00FE24EC"/>
    <w:rsid w:val="00FF54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C1804"/>
  <w15:chartTrackingRefBased/>
  <w15:docId w15:val="{59859319-A6D1-4EF1-B1C8-F0D2BE7D8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1D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1D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1D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1D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1D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1D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1D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1D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1D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1D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1D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1D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1D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1D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1D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1D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1D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1D9C"/>
    <w:rPr>
      <w:rFonts w:eastAsiaTheme="majorEastAsia" w:cstheme="majorBidi"/>
      <w:color w:val="272727" w:themeColor="text1" w:themeTint="D8"/>
    </w:rPr>
  </w:style>
  <w:style w:type="paragraph" w:styleId="Title">
    <w:name w:val="Title"/>
    <w:basedOn w:val="Normal"/>
    <w:next w:val="Normal"/>
    <w:link w:val="TitleChar"/>
    <w:uiPriority w:val="10"/>
    <w:qFormat/>
    <w:rsid w:val="00261D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1D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1D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1D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1D9C"/>
    <w:pPr>
      <w:spacing w:before="160"/>
      <w:jc w:val="center"/>
    </w:pPr>
    <w:rPr>
      <w:i/>
      <w:iCs/>
      <w:color w:val="404040" w:themeColor="text1" w:themeTint="BF"/>
    </w:rPr>
  </w:style>
  <w:style w:type="character" w:customStyle="1" w:styleId="QuoteChar">
    <w:name w:val="Quote Char"/>
    <w:basedOn w:val="DefaultParagraphFont"/>
    <w:link w:val="Quote"/>
    <w:uiPriority w:val="29"/>
    <w:rsid w:val="00261D9C"/>
    <w:rPr>
      <w:i/>
      <w:iCs/>
      <w:color w:val="404040" w:themeColor="text1" w:themeTint="BF"/>
    </w:rPr>
  </w:style>
  <w:style w:type="paragraph" w:styleId="ListParagraph">
    <w:name w:val="List Paragraph"/>
    <w:basedOn w:val="Normal"/>
    <w:uiPriority w:val="34"/>
    <w:qFormat/>
    <w:rsid w:val="00261D9C"/>
    <w:pPr>
      <w:ind w:left="720"/>
      <w:contextualSpacing/>
    </w:pPr>
  </w:style>
  <w:style w:type="character" w:styleId="IntenseEmphasis">
    <w:name w:val="Intense Emphasis"/>
    <w:basedOn w:val="DefaultParagraphFont"/>
    <w:uiPriority w:val="21"/>
    <w:qFormat/>
    <w:rsid w:val="00261D9C"/>
    <w:rPr>
      <w:i/>
      <w:iCs/>
      <w:color w:val="0F4761" w:themeColor="accent1" w:themeShade="BF"/>
    </w:rPr>
  </w:style>
  <w:style w:type="paragraph" w:styleId="IntenseQuote">
    <w:name w:val="Intense Quote"/>
    <w:basedOn w:val="Normal"/>
    <w:next w:val="Normal"/>
    <w:link w:val="IntenseQuoteChar"/>
    <w:uiPriority w:val="30"/>
    <w:qFormat/>
    <w:rsid w:val="00261D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1D9C"/>
    <w:rPr>
      <w:i/>
      <w:iCs/>
      <w:color w:val="0F4761" w:themeColor="accent1" w:themeShade="BF"/>
    </w:rPr>
  </w:style>
  <w:style w:type="character" w:styleId="IntenseReference">
    <w:name w:val="Intense Reference"/>
    <w:basedOn w:val="DefaultParagraphFont"/>
    <w:uiPriority w:val="32"/>
    <w:qFormat/>
    <w:rsid w:val="00261D9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28563">
      <w:bodyDiv w:val="1"/>
      <w:marLeft w:val="0"/>
      <w:marRight w:val="0"/>
      <w:marTop w:val="0"/>
      <w:marBottom w:val="0"/>
      <w:divBdr>
        <w:top w:val="none" w:sz="0" w:space="0" w:color="auto"/>
        <w:left w:val="none" w:sz="0" w:space="0" w:color="auto"/>
        <w:bottom w:val="none" w:sz="0" w:space="0" w:color="auto"/>
        <w:right w:val="none" w:sz="0" w:space="0" w:color="auto"/>
      </w:divBdr>
    </w:div>
    <w:div w:id="62413441">
      <w:bodyDiv w:val="1"/>
      <w:marLeft w:val="0"/>
      <w:marRight w:val="0"/>
      <w:marTop w:val="0"/>
      <w:marBottom w:val="0"/>
      <w:divBdr>
        <w:top w:val="none" w:sz="0" w:space="0" w:color="auto"/>
        <w:left w:val="none" w:sz="0" w:space="0" w:color="auto"/>
        <w:bottom w:val="none" w:sz="0" w:space="0" w:color="auto"/>
        <w:right w:val="none" w:sz="0" w:space="0" w:color="auto"/>
      </w:divBdr>
    </w:div>
    <w:div w:id="89548867">
      <w:bodyDiv w:val="1"/>
      <w:marLeft w:val="0"/>
      <w:marRight w:val="0"/>
      <w:marTop w:val="0"/>
      <w:marBottom w:val="0"/>
      <w:divBdr>
        <w:top w:val="none" w:sz="0" w:space="0" w:color="auto"/>
        <w:left w:val="none" w:sz="0" w:space="0" w:color="auto"/>
        <w:bottom w:val="none" w:sz="0" w:space="0" w:color="auto"/>
        <w:right w:val="none" w:sz="0" w:space="0" w:color="auto"/>
      </w:divBdr>
    </w:div>
    <w:div w:id="101538996">
      <w:bodyDiv w:val="1"/>
      <w:marLeft w:val="0"/>
      <w:marRight w:val="0"/>
      <w:marTop w:val="0"/>
      <w:marBottom w:val="0"/>
      <w:divBdr>
        <w:top w:val="none" w:sz="0" w:space="0" w:color="auto"/>
        <w:left w:val="none" w:sz="0" w:space="0" w:color="auto"/>
        <w:bottom w:val="none" w:sz="0" w:space="0" w:color="auto"/>
        <w:right w:val="none" w:sz="0" w:space="0" w:color="auto"/>
      </w:divBdr>
    </w:div>
    <w:div w:id="263458697">
      <w:bodyDiv w:val="1"/>
      <w:marLeft w:val="0"/>
      <w:marRight w:val="0"/>
      <w:marTop w:val="0"/>
      <w:marBottom w:val="0"/>
      <w:divBdr>
        <w:top w:val="none" w:sz="0" w:space="0" w:color="auto"/>
        <w:left w:val="none" w:sz="0" w:space="0" w:color="auto"/>
        <w:bottom w:val="none" w:sz="0" w:space="0" w:color="auto"/>
        <w:right w:val="none" w:sz="0" w:space="0" w:color="auto"/>
      </w:divBdr>
    </w:div>
    <w:div w:id="363790606">
      <w:bodyDiv w:val="1"/>
      <w:marLeft w:val="0"/>
      <w:marRight w:val="0"/>
      <w:marTop w:val="0"/>
      <w:marBottom w:val="0"/>
      <w:divBdr>
        <w:top w:val="none" w:sz="0" w:space="0" w:color="auto"/>
        <w:left w:val="none" w:sz="0" w:space="0" w:color="auto"/>
        <w:bottom w:val="none" w:sz="0" w:space="0" w:color="auto"/>
        <w:right w:val="none" w:sz="0" w:space="0" w:color="auto"/>
      </w:divBdr>
    </w:div>
    <w:div w:id="457187678">
      <w:bodyDiv w:val="1"/>
      <w:marLeft w:val="0"/>
      <w:marRight w:val="0"/>
      <w:marTop w:val="0"/>
      <w:marBottom w:val="0"/>
      <w:divBdr>
        <w:top w:val="none" w:sz="0" w:space="0" w:color="auto"/>
        <w:left w:val="none" w:sz="0" w:space="0" w:color="auto"/>
        <w:bottom w:val="none" w:sz="0" w:space="0" w:color="auto"/>
        <w:right w:val="none" w:sz="0" w:space="0" w:color="auto"/>
      </w:divBdr>
    </w:div>
    <w:div w:id="461385306">
      <w:bodyDiv w:val="1"/>
      <w:marLeft w:val="0"/>
      <w:marRight w:val="0"/>
      <w:marTop w:val="0"/>
      <w:marBottom w:val="0"/>
      <w:divBdr>
        <w:top w:val="none" w:sz="0" w:space="0" w:color="auto"/>
        <w:left w:val="none" w:sz="0" w:space="0" w:color="auto"/>
        <w:bottom w:val="none" w:sz="0" w:space="0" w:color="auto"/>
        <w:right w:val="none" w:sz="0" w:space="0" w:color="auto"/>
      </w:divBdr>
    </w:div>
    <w:div w:id="511530989">
      <w:bodyDiv w:val="1"/>
      <w:marLeft w:val="0"/>
      <w:marRight w:val="0"/>
      <w:marTop w:val="0"/>
      <w:marBottom w:val="0"/>
      <w:divBdr>
        <w:top w:val="none" w:sz="0" w:space="0" w:color="auto"/>
        <w:left w:val="none" w:sz="0" w:space="0" w:color="auto"/>
        <w:bottom w:val="none" w:sz="0" w:space="0" w:color="auto"/>
        <w:right w:val="none" w:sz="0" w:space="0" w:color="auto"/>
      </w:divBdr>
    </w:div>
    <w:div w:id="597064960">
      <w:bodyDiv w:val="1"/>
      <w:marLeft w:val="0"/>
      <w:marRight w:val="0"/>
      <w:marTop w:val="0"/>
      <w:marBottom w:val="0"/>
      <w:divBdr>
        <w:top w:val="none" w:sz="0" w:space="0" w:color="auto"/>
        <w:left w:val="none" w:sz="0" w:space="0" w:color="auto"/>
        <w:bottom w:val="none" w:sz="0" w:space="0" w:color="auto"/>
        <w:right w:val="none" w:sz="0" w:space="0" w:color="auto"/>
      </w:divBdr>
    </w:div>
    <w:div w:id="671876154">
      <w:bodyDiv w:val="1"/>
      <w:marLeft w:val="0"/>
      <w:marRight w:val="0"/>
      <w:marTop w:val="0"/>
      <w:marBottom w:val="0"/>
      <w:divBdr>
        <w:top w:val="none" w:sz="0" w:space="0" w:color="auto"/>
        <w:left w:val="none" w:sz="0" w:space="0" w:color="auto"/>
        <w:bottom w:val="none" w:sz="0" w:space="0" w:color="auto"/>
        <w:right w:val="none" w:sz="0" w:space="0" w:color="auto"/>
      </w:divBdr>
    </w:div>
    <w:div w:id="684289487">
      <w:bodyDiv w:val="1"/>
      <w:marLeft w:val="0"/>
      <w:marRight w:val="0"/>
      <w:marTop w:val="0"/>
      <w:marBottom w:val="0"/>
      <w:divBdr>
        <w:top w:val="none" w:sz="0" w:space="0" w:color="auto"/>
        <w:left w:val="none" w:sz="0" w:space="0" w:color="auto"/>
        <w:bottom w:val="none" w:sz="0" w:space="0" w:color="auto"/>
        <w:right w:val="none" w:sz="0" w:space="0" w:color="auto"/>
      </w:divBdr>
    </w:div>
    <w:div w:id="846482929">
      <w:bodyDiv w:val="1"/>
      <w:marLeft w:val="0"/>
      <w:marRight w:val="0"/>
      <w:marTop w:val="0"/>
      <w:marBottom w:val="0"/>
      <w:divBdr>
        <w:top w:val="none" w:sz="0" w:space="0" w:color="auto"/>
        <w:left w:val="none" w:sz="0" w:space="0" w:color="auto"/>
        <w:bottom w:val="none" w:sz="0" w:space="0" w:color="auto"/>
        <w:right w:val="none" w:sz="0" w:space="0" w:color="auto"/>
      </w:divBdr>
    </w:div>
    <w:div w:id="966549878">
      <w:bodyDiv w:val="1"/>
      <w:marLeft w:val="0"/>
      <w:marRight w:val="0"/>
      <w:marTop w:val="0"/>
      <w:marBottom w:val="0"/>
      <w:divBdr>
        <w:top w:val="none" w:sz="0" w:space="0" w:color="auto"/>
        <w:left w:val="none" w:sz="0" w:space="0" w:color="auto"/>
        <w:bottom w:val="none" w:sz="0" w:space="0" w:color="auto"/>
        <w:right w:val="none" w:sz="0" w:space="0" w:color="auto"/>
      </w:divBdr>
    </w:div>
    <w:div w:id="971207883">
      <w:bodyDiv w:val="1"/>
      <w:marLeft w:val="0"/>
      <w:marRight w:val="0"/>
      <w:marTop w:val="0"/>
      <w:marBottom w:val="0"/>
      <w:divBdr>
        <w:top w:val="none" w:sz="0" w:space="0" w:color="auto"/>
        <w:left w:val="none" w:sz="0" w:space="0" w:color="auto"/>
        <w:bottom w:val="none" w:sz="0" w:space="0" w:color="auto"/>
        <w:right w:val="none" w:sz="0" w:space="0" w:color="auto"/>
      </w:divBdr>
    </w:div>
    <w:div w:id="986056087">
      <w:bodyDiv w:val="1"/>
      <w:marLeft w:val="0"/>
      <w:marRight w:val="0"/>
      <w:marTop w:val="0"/>
      <w:marBottom w:val="0"/>
      <w:divBdr>
        <w:top w:val="none" w:sz="0" w:space="0" w:color="auto"/>
        <w:left w:val="none" w:sz="0" w:space="0" w:color="auto"/>
        <w:bottom w:val="none" w:sz="0" w:space="0" w:color="auto"/>
        <w:right w:val="none" w:sz="0" w:space="0" w:color="auto"/>
      </w:divBdr>
    </w:div>
    <w:div w:id="1134448641">
      <w:bodyDiv w:val="1"/>
      <w:marLeft w:val="0"/>
      <w:marRight w:val="0"/>
      <w:marTop w:val="0"/>
      <w:marBottom w:val="0"/>
      <w:divBdr>
        <w:top w:val="none" w:sz="0" w:space="0" w:color="auto"/>
        <w:left w:val="none" w:sz="0" w:space="0" w:color="auto"/>
        <w:bottom w:val="none" w:sz="0" w:space="0" w:color="auto"/>
        <w:right w:val="none" w:sz="0" w:space="0" w:color="auto"/>
      </w:divBdr>
    </w:div>
    <w:div w:id="1240596560">
      <w:bodyDiv w:val="1"/>
      <w:marLeft w:val="0"/>
      <w:marRight w:val="0"/>
      <w:marTop w:val="0"/>
      <w:marBottom w:val="0"/>
      <w:divBdr>
        <w:top w:val="none" w:sz="0" w:space="0" w:color="auto"/>
        <w:left w:val="none" w:sz="0" w:space="0" w:color="auto"/>
        <w:bottom w:val="none" w:sz="0" w:space="0" w:color="auto"/>
        <w:right w:val="none" w:sz="0" w:space="0" w:color="auto"/>
      </w:divBdr>
    </w:div>
    <w:div w:id="1318531671">
      <w:bodyDiv w:val="1"/>
      <w:marLeft w:val="0"/>
      <w:marRight w:val="0"/>
      <w:marTop w:val="0"/>
      <w:marBottom w:val="0"/>
      <w:divBdr>
        <w:top w:val="none" w:sz="0" w:space="0" w:color="auto"/>
        <w:left w:val="none" w:sz="0" w:space="0" w:color="auto"/>
        <w:bottom w:val="none" w:sz="0" w:space="0" w:color="auto"/>
        <w:right w:val="none" w:sz="0" w:space="0" w:color="auto"/>
      </w:divBdr>
    </w:div>
    <w:div w:id="1319385990">
      <w:bodyDiv w:val="1"/>
      <w:marLeft w:val="0"/>
      <w:marRight w:val="0"/>
      <w:marTop w:val="0"/>
      <w:marBottom w:val="0"/>
      <w:divBdr>
        <w:top w:val="none" w:sz="0" w:space="0" w:color="auto"/>
        <w:left w:val="none" w:sz="0" w:space="0" w:color="auto"/>
        <w:bottom w:val="none" w:sz="0" w:space="0" w:color="auto"/>
        <w:right w:val="none" w:sz="0" w:space="0" w:color="auto"/>
      </w:divBdr>
    </w:div>
    <w:div w:id="1543983034">
      <w:bodyDiv w:val="1"/>
      <w:marLeft w:val="0"/>
      <w:marRight w:val="0"/>
      <w:marTop w:val="0"/>
      <w:marBottom w:val="0"/>
      <w:divBdr>
        <w:top w:val="none" w:sz="0" w:space="0" w:color="auto"/>
        <w:left w:val="none" w:sz="0" w:space="0" w:color="auto"/>
        <w:bottom w:val="none" w:sz="0" w:space="0" w:color="auto"/>
        <w:right w:val="none" w:sz="0" w:space="0" w:color="auto"/>
      </w:divBdr>
    </w:div>
    <w:div w:id="1588690060">
      <w:bodyDiv w:val="1"/>
      <w:marLeft w:val="0"/>
      <w:marRight w:val="0"/>
      <w:marTop w:val="0"/>
      <w:marBottom w:val="0"/>
      <w:divBdr>
        <w:top w:val="none" w:sz="0" w:space="0" w:color="auto"/>
        <w:left w:val="none" w:sz="0" w:space="0" w:color="auto"/>
        <w:bottom w:val="none" w:sz="0" w:space="0" w:color="auto"/>
        <w:right w:val="none" w:sz="0" w:space="0" w:color="auto"/>
      </w:divBdr>
    </w:div>
    <w:div w:id="1641883200">
      <w:bodyDiv w:val="1"/>
      <w:marLeft w:val="0"/>
      <w:marRight w:val="0"/>
      <w:marTop w:val="0"/>
      <w:marBottom w:val="0"/>
      <w:divBdr>
        <w:top w:val="none" w:sz="0" w:space="0" w:color="auto"/>
        <w:left w:val="none" w:sz="0" w:space="0" w:color="auto"/>
        <w:bottom w:val="none" w:sz="0" w:space="0" w:color="auto"/>
        <w:right w:val="none" w:sz="0" w:space="0" w:color="auto"/>
      </w:divBdr>
    </w:div>
    <w:div w:id="1653677811">
      <w:bodyDiv w:val="1"/>
      <w:marLeft w:val="0"/>
      <w:marRight w:val="0"/>
      <w:marTop w:val="0"/>
      <w:marBottom w:val="0"/>
      <w:divBdr>
        <w:top w:val="none" w:sz="0" w:space="0" w:color="auto"/>
        <w:left w:val="none" w:sz="0" w:space="0" w:color="auto"/>
        <w:bottom w:val="none" w:sz="0" w:space="0" w:color="auto"/>
        <w:right w:val="none" w:sz="0" w:space="0" w:color="auto"/>
      </w:divBdr>
    </w:div>
    <w:div w:id="1691375460">
      <w:bodyDiv w:val="1"/>
      <w:marLeft w:val="0"/>
      <w:marRight w:val="0"/>
      <w:marTop w:val="0"/>
      <w:marBottom w:val="0"/>
      <w:divBdr>
        <w:top w:val="none" w:sz="0" w:space="0" w:color="auto"/>
        <w:left w:val="none" w:sz="0" w:space="0" w:color="auto"/>
        <w:bottom w:val="none" w:sz="0" w:space="0" w:color="auto"/>
        <w:right w:val="none" w:sz="0" w:space="0" w:color="auto"/>
      </w:divBdr>
    </w:div>
    <w:div w:id="2093159329">
      <w:bodyDiv w:val="1"/>
      <w:marLeft w:val="0"/>
      <w:marRight w:val="0"/>
      <w:marTop w:val="0"/>
      <w:marBottom w:val="0"/>
      <w:divBdr>
        <w:top w:val="none" w:sz="0" w:space="0" w:color="auto"/>
        <w:left w:val="none" w:sz="0" w:space="0" w:color="auto"/>
        <w:bottom w:val="none" w:sz="0" w:space="0" w:color="auto"/>
        <w:right w:val="none" w:sz="0" w:space="0" w:color="auto"/>
      </w:divBdr>
    </w:div>
    <w:div w:id="2110150983">
      <w:bodyDiv w:val="1"/>
      <w:marLeft w:val="0"/>
      <w:marRight w:val="0"/>
      <w:marTop w:val="0"/>
      <w:marBottom w:val="0"/>
      <w:divBdr>
        <w:top w:val="none" w:sz="0" w:space="0" w:color="auto"/>
        <w:left w:val="none" w:sz="0" w:space="0" w:color="auto"/>
        <w:bottom w:val="none" w:sz="0" w:space="0" w:color="auto"/>
        <w:right w:val="none" w:sz="0" w:space="0" w:color="auto"/>
      </w:divBdr>
    </w:div>
    <w:div w:id="2125951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5</Pages>
  <Words>1474</Words>
  <Characters>8408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Pannell</dc:creator>
  <cp:keywords/>
  <dc:description/>
  <cp:lastModifiedBy>Lisa Pannell</cp:lastModifiedBy>
  <cp:revision>4</cp:revision>
  <dcterms:created xsi:type="dcterms:W3CDTF">2025-08-08T09:26:00Z</dcterms:created>
  <dcterms:modified xsi:type="dcterms:W3CDTF">2025-08-19T14:51:00Z</dcterms:modified>
</cp:coreProperties>
</file>