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1F3864" w:sz="8"/>
              <w:left w:val="single" w:color="1F3864" w:sz="8"/>
              <w:bottom w:val="single" w:color="1F3864" w:sz="8"/>
              <w:right w:val="single" w:color="1F3864" w:sz="8"/>
            </w:tcBorders>
            <w:shd w:fill="1F3864" w:color="auto" w:val="clear"/>
            <w:tcMar>
              <w:top w:type="dxa" w:w="300"/>
              <w:left w:type="dxa" w:w="240"/>
              <w:bottom w:type="dxa" w:w="300"/>
              <w:right w:type="dxa" w:w="240"/>
            </w:tcMar>
          </w:tcPr>
          <w:p>
            <w:pPr>
              <w:spacing w:after="160"/>
            </w:pPr>
            <w:r>
              <w:rPr>
                <w:rFonts w:ascii="Arial" w:cs="Arial" w:eastAsia="Arial" w:hAnsi="Arial"/>
                <w:b/>
                <w:bCs/>
                <w:color w:val="FFFFFF"/>
                <w:sz w:val="44"/>
                <w:szCs w:val="44"/>
              </w:rPr>
              <w:t xml:space="preserve">INVITATION TO TENDER</w:t>
            </w:r>
          </w:p>
          <w:p>
            <w:pPr>
              <w:spacing w:after="160"/>
            </w:pPr>
            <w:r>
              <w:rPr>
                <w:rFonts w:ascii="Arial" w:cs="Arial" w:eastAsia="Arial" w:hAnsi="Arial"/>
                <w:color w:val="FFFFFF"/>
                <w:sz w:val="26"/>
                <w:szCs w:val="26"/>
              </w:rPr>
              <w:t xml:space="preserve">Subcontracted Delivery under the WYCA Construction Skills Package (CSP)</w:t>
            </w:r>
          </w:p>
          <w:p>
            <w:pPr>
              <w:spacing w:after="80"/>
            </w:pPr>
            <w:r>
              <w:rPr>
                <w:rFonts w:ascii="Arial" w:cs="Arial" w:eastAsia="Arial" w:hAnsi="Arial"/>
                <w:color w:val="FFFFFF"/>
                <w:sz w:val="22"/>
                <w:szCs w:val="22"/>
              </w:rPr>
              <w:t xml:space="preserve">Issued by Leeds College of Building</w:t>
            </w:r>
          </w:p>
          <w:p>
            <w:r>
              <w:rPr>
                <w:rFonts w:ascii="Arial" w:cs="Arial" w:eastAsia="Arial" w:hAnsi="Arial"/>
                <w:b/>
                <w:bCs/>
                <w:color w:val="FFFFFF"/>
                <w:sz w:val="22"/>
                <w:szCs w:val="22"/>
              </w:rPr>
              <w:t xml:space="preserve">Issued October 2026</w:t>
            </w:r>
          </w:p>
        </w:tc>
      </w:tr>
    </w:tbl>
    <w:p>
      <w:pPr>
        <w:spacing w:before="160"/>
      </w:pPr>
    </w:p>
    <w:p>
      <w:pPr>
        <w:spacing w:after="200" w:before="240"/>
      </w:pPr>
      <w:r>
        <w:rPr>
          <w:rFonts w:ascii="Arial" w:cs="Arial" w:eastAsia="Arial" w:hAnsi="Arial"/>
          <w:b/>
          <w:bCs/>
          <w:color w:val="1F3864"/>
          <w:sz w:val="32"/>
          <w:szCs w:val="32"/>
        </w:rPr>
        <w:t xml:space="preserve">Contents</w:t>
      </w:r>
    </w:p>
    <w:p>
      <w:pPr>
        <w:spacing w:after="120"/>
      </w:pPr>
      <w:r>
        <w:rPr>
          <w:rFonts w:ascii="Times New Roman" w:cs="Times New Roman" w:eastAsia="Times New Roman" w:hAnsi="Times New Roman"/>
          <w:sz w:val="22"/>
          <w:szCs w:val="22"/>
        </w:rPr>
        <w:t xml:space="preserve">Part 1: Information and Instructions</w:t>
      </w:r>
    </w:p>
    <w:p>
      <w:pPr>
        <w:spacing w:after="120"/>
      </w:pPr>
      <w:r>
        <w:rPr>
          <w:rFonts w:ascii="Times New Roman" w:cs="Times New Roman" w:eastAsia="Times New Roman" w:hAnsi="Times New Roman"/>
          <w:sz w:val="22"/>
          <w:szCs w:val="22"/>
        </w:rPr>
        <w:t xml:space="preserve">1. This Invitation to Tender</w:t>
      </w:r>
    </w:p>
    <w:p>
      <w:pPr>
        <w:spacing w:after="120"/>
      </w:pPr>
      <w:r>
        <w:rPr>
          <w:rFonts w:ascii="Times New Roman" w:cs="Times New Roman" w:eastAsia="Times New Roman" w:hAnsi="Times New Roman"/>
          <w:sz w:val="22"/>
          <w:szCs w:val="22"/>
        </w:rPr>
        <w:t xml:space="preserve">2. Contractual terms</w:t>
      </w:r>
    </w:p>
    <w:p>
      <w:pPr>
        <w:spacing w:after="120"/>
      </w:pPr>
      <w:r>
        <w:rPr>
          <w:rFonts w:ascii="Times New Roman" w:cs="Times New Roman" w:eastAsia="Times New Roman" w:hAnsi="Times New Roman"/>
          <w:sz w:val="22"/>
          <w:szCs w:val="22"/>
        </w:rPr>
        <w:t xml:space="preserve">3. The procurement process</w:t>
      </w:r>
    </w:p>
    <w:p>
      <w:pPr>
        <w:spacing w:after="120"/>
      </w:pPr>
      <w:r>
        <w:rPr>
          <w:rFonts w:ascii="Times New Roman" w:cs="Times New Roman" w:eastAsia="Times New Roman" w:hAnsi="Times New Roman"/>
          <w:sz w:val="22"/>
          <w:szCs w:val="22"/>
        </w:rPr>
        <w:t xml:space="preserve">4. Interpretation</w:t>
      </w:r>
    </w:p>
    <w:p>
      <w:pPr>
        <w:spacing w:after="120"/>
      </w:pPr>
      <w:r>
        <w:rPr>
          <w:rFonts w:ascii="Times New Roman" w:cs="Times New Roman" w:eastAsia="Times New Roman" w:hAnsi="Times New Roman"/>
          <w:sz w:val="22"/>
          <w:szCs w:val="22"/>
        </w:rPr>
        <w:t xml:space="preserve">5. Queries about the Specification or this ITT</w:t>
      </w:r>
    </w:p>
    <w:p>
      <w:pPr>
        <w:spacing w:after="120"/>
      </w:pPr>
      <w:r>
        <w:rPr>
          <w:rFonts w:ascii="Times New Roman" w:cs="Times New Roman" w:eastAsia="Times New Roman" w:hAnsi="Times New Roman"/>
          <w:sz w:val="22"/>
          <w:szCs w:val="22"/>
        </w:rPr>
        <w:t xml:space="preserve">6. Timetable</w:t>
      </w:r>
    </w:p>
    <w:p>
      <w:pPr>
        <w:spacing w:after="120"/>
      </w:pPr>
      <w:r>
        <w:rPr>
          <w:rFonts w:ascii="Times New Roman" w:cs="Times New Roman" w:eastAsia="Times New Roman" w:hAnsi="Times New Roman"/>
          <w:sz w:val="22"/>
          <w:szCs w:val="22"/>
        </w:rPr>
        <w:t xml:space="preserve">7. Submission requirements</w:t>
      </w:r>
    </w:p>
    <w:p>
      <w:pPr>
        <w:spacing w:after="120"/>
      </w:pPr>
      <w:r>
        <w:rPr>
          <w:rFonts w:ascii="Times New Roman" w:cs="Times New Roman" w:eastAsia="Times New Roman" w:hAnsi="Times New Roman"/>
          <w:sz w:val="22"/>
          <w:szCs w:val="22"/>
        </w:rPr>
        <w:t xml:space="preserve">8. Other Tender rules</w:t>
      </w:r>
    </w:p>
    <w:p>
      <w:pPr>
        <w:spacing w:after="120"/>
      </w:pPr>
      <w:r>
        <w:rPr>
          <w:rFonts w:ascii="Times New Roman" w:cs="Times New Roman" w:eastAsia="Times New Roman" w:hAnsi="Times New Roman"/>
          <w:sz w:val="22"/>
          <w:szCs w:val="22"/>
        </w:rPr>
        <w:t xml:space="preserve">9. Confidentiality</w:t>
      </w:r>
    </w:p>
    <w:p>
      <w:pPr>
        <w:spacing w:after="120"/>
      </w:pPr>
      <w:r>
        <w:rPr>
          <w:rFonts w:ascii="Times New Roman" w:cs="Times New Roman" w:eastAsia="Times New Roman" w:hAnsi="Times New Roman"/>
          <w:sz w:val="22"/>
          <w:szCs w:val="22"/>
        </w:rPr>
        <w:t xml:space="preserve">10. Candidate conduct, conflicts of interest and disqualification</w:t>
      </w:r>
    </w:p>
    <w:p>
      <w:pPr>
        <w:spacing w:after="120"/>
      </w:pPr>
      <w:r>
        <w:rPr>
          <w:rFonts w:ascii="Times New Roman" w:cs="Times New Roman" w:eastAsia="Times New Roman" w:hAnsi="Times New Roman"/>
          <w:sz w:val="22"/>
          <w:szCs w:val="22"/>
        </w:rPr>
        <w:t xml:space="preserve">11. The College's rights</w:t>
      </w:r>
    </w:p>
    <w:p>
      <w:pPr>
        <w:spacing w:after="120"/>
      </w:pPr>
      <w:r>
        <w:rPr>
          <w:rFonts w:ascii="Times New Roman" w:cs="Times New Roman" w:eastAsia="Times New Roman" w:hAnsi="Times New Roman"/>
          <w:sz w:val="22"/>
          <w:szCs w:val="22"/>
        </w:rPr>
        <w:t xml:space="preserve">12. Tender costs</w:t>
      </w:r>
    </w:p>
    <w:p>
      <w:pPr>
        <w:spacing w:after="120"/>
      </w:pPr>
      <w:r>
        <w:rPr>
          <w:rFonts w:ascii="Times New Roman" w:cs="Times New Roman" w:eastAsia="Times New Roman" w:hAnsi="Times New Roman"/>
          <w:sz w:val="22"/>
          <w:szCs w:val="22"/>
        </w:rPr>
        <w:t xml:space="preserve">13. Applicable law</w:t>
      </w:r>
    </w:p>
    <w:p>
      <w:pPr>
        <w:spacing w:after="120"/>
      </w:pPr>
      <w:r>
        <w:rPr>
          <w:rFonts w:ascii="Times New Roman" w:cs="Times New Roman" w:eastAsia="Times New Roman" w:hAnsi="Times New Roman"/>
          <w:sz w:val="22"/>
          <w:szCs w:val="22"/>
        </w:rPr>
        <w:t xml:space="preserve">Part 2: Evaluation and Award</w:t>
      </w:r>
    </w:p>
    <w:p>
      <w:pPr>
        <w:spacing w:after="120"/>
      </w:pPr>
      <w:r>
        <w:rPr>
          <w:rFonts w:ascii="Times New Roman" w:cs="Times New Roman" w:eastAsia="Times New Roman" w:hAnsi="Times New Roman"/>
          <w:sz w:val="22"/>
          <w:szCs w:val="22"/>
        </w:rPr>
        <w:t xml:space="preserve">14. Evaluation</w:t>
      </w:r>
    </w:p>
    <w:p>
      <w:pPr>
        <w:spacing w:after="120"/>
      </w:pPr>
      <w:r>
        <w:rPr>
          <w:rFonts w:ascii="Times New Roman" w:cs="Times New Roman" w:eastAsia="Times New Roman" w:hAnsi="Times New Roman"/>
          <w:sz w:val="22"/>
          <w:szCs w:val="22"/>
        </w:rPr>
        <w:t xml:space="preserve">15. Contract award</w:t>
      </w:r>
    </w:p>
    <w:p>
      <w:pPr>
        <w:spacing w:after="120"/>
      </w:pPr>
      <w:r>
        <w:rPr>
          <w:rFonts w:ascii="Times New Roman" w:cs="Times New Roman" w:eastAsia="Times New Roman" w:hAnsi="Times New Roman"/>
          <w:sz w:val="22"/>
          <w:szCs w:val="22"/>
        </w:rPr>
        <w:t xml:space="preserve">Appendix 1 — Statement of Requirements</w:t>
      </w:r>
    </w:p>
    <w:p>
      <w:pPr>
        <w:spacing w:after="120"/>
      </w:pPr>
      <w:r>
        <w:rPr>
          <w:rFonts w:ascii="Times New Roman" w:cs="Times New Roman" w:eastAsia="Times New Roman" w:hAnsi="Times New Roman"/>
          <w:sz w:val="22"/>
          <w:szCs w:val="22"/>
        </w:rPr>
        <w:t xml:space="preserve">Appendix 2 — Selection Questionnaire</w:t>
      </w:r>
    </w:p>
    <w:p>
      <w:pPr>
        <w:spacing w:after="120"/>
      </w:pPr>
      <w:r>
        <w:rPr>
          <w:rFonts w:ascii="Times New Roman" w:cs="Times New Roman" w:eastAsia="Times New Roman" w:hAnsi="Times New Roman"/>
          <w:sz w:val="22"/>
          <w:szCs w:val="22"/>
        </w:rPr>
        <w:t xml:space="preserve">Appendix 3 — Award Questions</w:t>
      </w:r>
    </w:p>
    <w:p>
      <w:pPr>
        <w:spacing w:after="120"/>
      </w:pPr>
      <w:r>
        <w:rPr>
          <w:rFonts w:ascii="Times New Roman" w:cs="Times New Roman" w:eastAsia="Times New Roman" w:hAnsi="Times New Roman"/>
          <w:sz w:val="22"/>
          <w:szCs w:val="22"/>
        </w:rPr>
        <w:t xml:space="preserve">Appendix 4 — Compliance and Contractual Requirements</w:t>
      </w:r>
    </w:p>
    <w:p>
      <w:pPr>
        <w:spacing w:after="120"/>
      </w:pPr>
      <w:r>
        <w:rPr>
          <w:rFonts w:ascii="Times New Roman" w:cs="Times New Roman" w:eastAsia="Times New Roman" w:hAnsi="Times New Roman"/>
          <w:sz w:val="22"/>
          <w:szCs w:val="22"/>
        </w:rPr>
        <w:t xml:space="preserve">Appendix 5 — Indicative Timetable</w:t>
      </w:r>
    </w:p>
    <w:p>
      <w:pPr>
        <w:spacing w:after="120"/>
      </w:pPr>
      <w:r>
        <w:rPr>
          <w:rFonts w:ascii="Times New Roman" w:cs="Times New Roman" w:eastAsia="Times New Roman" w:hAnsi="Times New Roman"/>
          <w:sz w:val="22"/>
          <w:szCs w:val="22"/>
        </w:rPr>
        <w:t xml:space="preserve">Appendix 6 — Existing Grant-Funded Provision (Baseline)</w:t>
      </w:r>
    </w:p>
    <w:p>
      <w:r>
        <w:br w:type="page"/>
      </w:r>
    </w:p>
    <w:p>
      <w:pPr>
        <w:spacing w:after="200" w:before="240"/>
      </w:pPr>
      <w:r>
        <w:rPr>
          <w:rFonts w:ascii="Arial" w:cs="Arial" w:eastAsia="Arial" w:hAnsi="Arial"/>
          <w:b/>
          <w:bCs/>
          <w:color w:val="1F3864"/>
          <w:sz w:val="32"/>
          <w:szCs w:val="32"/>
        </w:rPr>
        <w:t xml:space="preserve">Part 1: Information and Instructions</w:t>
      </w:r>
    </w:p>
    <w:p>
      <w:pPr>
        <w:keepNext/>
        <w:spacing w:after="120" w:before="240"/>
      </w:pPr>
      <w:r>
        <w:rPr>
          <w:rFonts w:ascii="Arial" w:cs="Arial" w:eastAsia="Arial" w:hAnsi="Arial"/>
          <w:b/>
          <w:bCs/>
          <w:color w:val="1F3864"/>
          <w:sz w:val="26"/>
          <w:szCs w:val="26"/>
        </w:rPr>
        <w:t xml:space="preserve">1. This Invitation to Tender</w:t>
      </w:r>
    </w:p>
    <w:p>
      <w:pPr>
        <w:tabs>
          <w:tab w:val="left" w:pos="720"/>
        </w:tabs>
        <w:spacing w:after="120"/>
        <w:ind w:left="720" w:hanging="720"/>
      </w:pPr>
      <w:r>
        <w:rPr>
          <w:rFonts w:ascii="Times New Roman" w:cs="Times New Roman" w:eastAsia="Times New Roman" w:hAnsi="Times New Roman"/>
          <w:sz w:val="22"/>
          <w:szCs w:val="22"/>
        </w:rPr>
        <w:t xml:space="preserve">1.1	This Invitation to Tender (“ITT”) is issued by Leeds College of Building (the “College”), which is running this procurement process as a subcontracted delivery buyer under its contract for services (including £351,670 available for subcontracted delivery) with the West Yorkshire Combined Authority (“WYCA” or the “Combined Authority”) for the Construction Skills Package (CSP).</w:t>
      </w:r>
    </w:p>
    <w:p>
      <w:pPr>
        <w:tabs>
          <w:tab w:val="left" w:pos="720"/>
        </w:tabs>
        <w:spacing w:after="120"/>
        <w:ind w:left="720" w:hanging="720"/>
      </w:pPr>
      <w:r>
        <w:rPr>
          <w:rFonts w:ascii="Times New Roman" w:cs="Times New Roman" w:eastAsia="Times New Roman" w:hAnsi="Times New Roman"/>
          <w:sz w:val="22"/>
          <w:szCs w:val="22"/>
        </w:rPr>
        <w:t xml:space="preserve">1.2	This ITT is made available to organisations (“Candidates”) interested in delivering subcontracted construction-sector qualifications and/or bespoke-aim Targeted Employment Programmes (TEPs) on the College's behalf (the “Services”). Further details of the Services are set out in Appendix 1.</w:t>
      </w:r>
    </w:p>
    <w:p>
      <w:pPr>
        <w:tabs>
          <w:tab w:val="left" w:pos="720"/>
        </w:tabs>
        <w:spacing w:after="120"/>
        <w:ind w:left="720" w:hanging="720"/>
      </w:pPr>
      <w:r>
        <w:rPr>
          <w:rFonts w:ascii="Times New Roman" w:cs="Times New Roman" w:eastAsia="Times New Roman" w:hAnsi="Times New Roman"/>
          <w:sz w:val="22"/>
          <w:szCs w:val="22"/>
        </w:rPr>
        <w:t xml:space="preserve">1.3	This subcontracting opportunity is run under the College's Adult Skills Fund (ASF) subcontracting policy and in accordance with WYCA's ASF Funding Rules 2026–27, Annex D. Any subcontract awarded under this ITT remains subject to WYCA's prior written approval before it may be entered into.</w:t>
      </w:r>
    </w:p>
    <w:p>
      <w:pPr>
        <w:tabs>
          <w:tab w:val="left" w:pos="720"/>
        </w:tabs>
        <w:spacing w:after="120"/>
        <w:ind w:left="720" w:hanging="720"/>
      </w:pPr>
      <w:r>
        <w:rPr>
          <w:rFonts w:ascii="Times New Roman" w:cs="Times New Roman" w:eastAsia="Times New Roman" w:hAnsi="Times New Roman"/>
          <w:sz w:val="22"/>
          <w:szCs w:val="22"/>
        </w:rPr>
        <w:t xml:space="preserve">1.4	In certain places, the College is referred to as “We”, while Candidates are referred to as “You” and “Your”.</w:t>
      </w:r>
    </w:p>
    <w:p>
      <w:pPr>
        <w:tabs>
          <w:tab w:val="left" w:pos="720"/>
        </w:tabs>
        <w:spacing w:after="120"/>
        <w:ind w:left="720" w:hanging="720"/>
      </w:pPr>
      <w:r>
        <w:rPr>
          <w:rFonts w:ascii="Times New Roman" w:cs="Times New Roman" w:eastAsia="Times New Roman" w:hAnsi="Times New Roman"/>
          <w:sz w:val="22"/>
          <w:szCs w:val="22"/>
        </w:rPr>
        <w:t xml:space="preserve">1.5	This ITT is made up of the main body of this document (Parts 1 and 2) and the following Appendices: a Statement of Requirements (Appendix 1); a Selection Questionnaire (Appendix 2); the award questions (Appendix 3); a summary of compliance and contractual requirements (Appendix 4); an indicative timetable (Appendix 5); and a baseline summary of existing grant-funded provision (Appendix 6).</w:t>
      </w:r>
    </w:p>
    <w:p>
      <w:pPr>
        <w:keepNext/>
        <w:spacing w:after="120" w:before="240"/>
      </w:pPr>
      <w:r>
        <w:rPr>
          <w:rFonts w:ascii="Arial" w:cs="Arial" w:eastAsia="Arial" w:hAnsi="Arial"/>
          <w:b/>
          <w:bCs/>
          <w:color w:val="1F3864"/>
          <w:sz w:val="26"/>
          <w:szCs w:val="26"/>
        </w:rPr>
        <w:t xml:space="preserve">2. Contractual terms</w:t>
      </w:r>
    </w:p>
    <w:p>
      <w:pPr>
        <w:tabs>
          <w:tab w:val="left" w:pos="720"/>
        </w:tabs>
        <w:spacing w:after="120"/>
        <w:ind w:left="720" w:hanging="720"/>
      </w:pPr>
      <w:r>
        <w:rPr>
          <w:rFonts w:ascii="Times New Roman" w:cs="Times New Roman" w:eastAsia="Times New Roman" w:hAnsi="Times New Roman"/>
          <w:sz w:val="22"/>
          <w:szCs w:val="22"/>
        </w:rPr>
        <w:t xml:space="preserve">2.1	The subcontract that the College proposes to enter into with the successful Candidate(s) will reflect the minimum terms set out in Appendix 4, adapted to a subcontract between the College and the Provider rather than between WYCA and the College. By submitting a Tender, the Candidate confirms that it shall, if successful, enter into that subcontract.</w:t>
      </w:r>
    </w:p>
    <w:p>
      <w:pPr>
        <w:tabs>
          <w:tab w:val="left" w:pos="720"/>
        </w:tabs>
        <w:spacing w:after="120"/>
        <w:ind w:left="720" w:hanging="720"/>
      </w:pPr>
      <w:r>
        <w:rPr>
          <w:rFonts w:ascii="Times New Roman" w:cs="Times New Roman" w:eastAsia="Times New Roman" w:hAnsi="Times New Roman"/>
          <w:sz w:val="22"/>
          <w:szCs w:val="22"/>
        </w:rPr>
        <w:t xml:space="preserve">2.2	The subcontract terms are subject to WYCA's Annex D minimum content requirements and to WYCA's prior review and approval.</w:t>
      </w:r>
    </w:p>
    <w:p>
      <w:pPr>
        <w:tabs>
          <w:tab w:val="left" w:pos="720"/>
        </w:tabs>
        <w:spacing w:after="120"/>
        <w:ind w:left="720" w:hanging="720"/>
      </w:pPr>
      <w:r>
        <w:rPr>
          <w:rFonts w:ascii="Times New Roman" w:cs="Times New Roman" w:eastAsia="Times New Roman" w:hAnsi="Times New Roman"/>
          <w:sz w:val="22"/>
          <w:szCs w:val="22"/>
        </w:rPr>
        <w:t xml:space="preserve">2.3	The Contract will commence on the Commencement Date and, unless terminated earlier in accordance with its terms, will continue until 31 July 2027 (the “Initial Term”). The College may, at its discretion, extend the Contract for one or more further periods of up to twelve months each (each an “Extension Period”), subject to the Provider’s satisfactory performance, the availability of funding and the approval of the Combined Authority. Any extension will be agreed in writing, and nothing in this ITT guarantees that the Contract will be extended.</w:t>
      </w:r>
    </w:p>
    <w:p>
      <w:pPr>
        <w:keepNext/>
        <w:spacing w:after="120" w:before="240"/>
      </w:pPr>
      <w:r>
        <w:rPr>
          <w:rFonts w:ascii="Arial" w:cs="Arial" w:eastAsia="Arial" w:hAnsi="Arial"/>
          <w:b/>
          <w:bCs/>
          <w:color w:val="1F3864"/>
          <w:sz w:val="26"/>
          <w:szCs w:val="26"/>
        </w:rPr>
        <w:t xml:space="preserve">3. The procurement process</w:t>
      </w:r>
    </w:p>
    <w:p>
      <w:pPr>
        <w:tabs>
          <w:tab w:val="left" w:pos="720"/>
        </w:tabs>
        <w:spacing w:after="120"/>
        <w:ind w:left="720" w:hanging="720"/>
      </w:pPr>
      <w:r>
        <w:rPr>
          <w:rFonts w:ascii="Times New Roman" w:cs="Times New Roman" w:eastAsia="Times New Roman" w:hAnsi="Times New Roman"/>
          <w:sz w:val="22"/>
          <w:szCs w:val="22"/>
        </w:rPr>
        <w:t xml:space="preserve">3.1	This procurement process is conducted as a buyer-run mini-competition, reflecting the principles of fairness, transparency and proportionality set out in the Procurement Act 2023, and the subcontracting rules set out in WYCA's ASF Funding Rules 2026–27.</w:t>
      </w:r>
    </w:p>
    <w:p>
      <w:pPr>
        <w:tabs>
          <w:tab w:val="left" w:pos="720"/>
        </w:tabs>
        <w:spacing w:after="120"/>
        <w:ind w:left="720" w:hanging="720"/>
      </w:pPr>
      <w:r>
        <w:rPr>
          <w:rFonts w:ascii="Times New Roman" w:cs="Times New Roman" w:eastAsia="Times New Roman" w:hAnsi="Times New Roman"/>
          <w:sz w:val="22"/>
          <w:szCs w:val="22"/>
        </w:rPr>
        <w:t xml:space="preserve">3.2	This opportunity will be advertised on the Leeds College of Building website from the week commencing 26 October 2026 until the Tender submission deadline of 6 November 2026, to allow interested Candidates to respond.</w:t>
      </w:r>
    </w:p>
    <w:p>
      <w:pPr>
        <w:tabs>
          <w:tab w:val="left" w:pos="720"/>
        </w:tabs>
        <w:spacing w:after="120"/>
        <w:ind w:left="720" w:hanging="720"/>
      </w:pPr>
      <w:r>
        <w:rPr>
          <w:rFonts w:ascii="Times New Roman" w:cs="Times New Roman" w:eastAsia="Times New Roman" w:hAnsi="Times New Roman"/>
          <w:sz w:val="22"/>
          <w:szCs w:val="22"/>
        </w:rPr>
        <w:t xml:space="preserve">3.3	Only Candidates satisfying the qualification and due-diligence requirements set out in Part 2 and Appendix 2 will be considered for award. There is no restriction on the number of Candidates who may respond, but the College anticipates awarding to up to four Providers whose offer is complementary to, and not duplicative of, WYCA's existing grant-funded college provision across the region (see Appendix 1 and Appendix 6).</w:t>
      </w:r>
    </w:p>
    <w:p>
      <w:pPr>
        <w:tabs>
          <w:tab w:val="left" w:pos="720"/>
        </w:tabs>
        <w:spacing w:after="120"/>
        <w:ind w:left="720" w:hanging="720"/>
      </w:pPr>
      <w:r>
        <w:rPr>
          <w:rFonts w:ascii="Times New Roman" w:cs="Times New Roman" w:eastAsia="Times New Roman" w:hAnsi="Times New Roman"/>
          <w:sz w:val="22"/>
          <w:szCs w:val="22"/>
        </w:rPr>
        <w:t xml:space="preserve">3.4	The CSP is a Level 2+ programme. Only provision proposed at Level 2 or Level 3 will be considered; Level 1 provision does not count towards CSP targets and metrics (see Appendix 1).</w:t>
      </w:r>
    </w:p>
    <w:p>
      <w:pPr>
        <w:keepNext/>
        <w:spacing w:after="120" w:before="240"/>
      </w:pPr>
      <w:r>
        <w:rPr>
          <w:rFonts w:ascii="Arial" w:cs="Arial" w:eastAsia="Arial" w:hAnsi="Arial"/>
          <w:b/>
          <w:bCs/>
          <w:color w:val="1F3864"/>
          <w:sz w:val="26"/>
          <w:szCs w:val="26"/>
        </w:rPr>
        <w:t xml:space="preserve">4. Interpretation</w:t>
      </w:r>
    </w:p>
    <w:p>
      <w:pPr>
        <w:tabs>
          <w:tab w:val="left" w:pos="720"/>
        </w:tabs>
        <w:spacing w:after="120"/>
        <w:ind w:left="720" w:hanging="720"/>
      </w:pPr>
      <w:r>
        <w:rPr>
          <w:rFonts w:ascii="Times New Roman" w:cs="Times New Roman" w:eastAsia="Times New Roman" w:hAnsi="Times New Roman"/>
          <w:sz w:val="22"/>
          <w:szCs w:val="22"/>
        </w:rPr>
        <w:t xml:space="preserve">4.1	In this ITT, except where the context specifically requires otherwise: words and expressions defined in the subcontract have the same meaning in this ITT; the list of contents and headings are for ease of reference only; the words “other”, “includes”, “including”, “for example” and “in particular” do not limit the generality of preceding words; where the College “reserves the right” it reserves the right to do so at its absolute discretion; a reference to a “representative” of the College or of WYCA means any person acting in connection with this procurement process, including employees, agents and advisers; and any reference to a time is to the time in the UK.</w:t>
      </w:r>
    </w:p>
    <w:p>
      <w:pPr>
        <w:keepNext/>
        <w:spacing w:after="120" w:before="240"/>
      </w:pPr>
      <w:r>
        <w:rPr>
          <w:rFonts w:ascii="Arial" w:cs="Arial" w:eastAsia="Arial" w:hAnsi="Arial"/>
          <w:b/>
          <w:bCs/>
          <w:color w:val="1F3864"/>
          <w:sz w:val="26"/>
          <w:szCs w:val="26"/>
        </w:rPr>
        <w:t xml:space="preserve">5. Queries about the Specification or this ITT</w:t>
      </w:r>
    </w:p>
    <w:p>
      <w:pPr>
        <w:tabs>
          <w:tab w:val="left" w:pos="720"/>
        </w:tabs>
        <w:spacing w:after="120"/>
        <w:ind w:left="720" w:hanging="720"/>
      </w:pPr>
      <w:r>
        <w:rPr>
          <w:rFonts w:ascii="Times New Roman" w:cs="Times New Roman" w:eastAsia="Times New Roman" w:hAnsi="Times New Roman"/>
          <w:sz w:val="22"/>
          <w:szCs w:val="22"/>
        </w:rPr>
        <w:t xml:space="preserve">5.1	Any questions or requests for clarification are to be submitted by email to Carly Sidebottom (Csidebottom@lcb.ac.uk) and Rachel Nichol (Rnichol@lcb.ac.uk).</w:t>
      </w:r>
    </w:p>
    <w:p>
      <w:pPr>
        <w:tabs>
          <w:tab w:val="left" w:pos="720"/>
        </w:tabs>
        <w:spacing w:after="120"/>
        <w:ind w:left="720" w:hanging="720"/>
      </w:pPr>
      <w:r>
        <w:rPr>
          <w:rFonts w:ascii="Times New Roman" w:cs="Times New Roman" w:eastAsia="Times New Roman" w:hAnsi="Times New Roman"/>
          <w:sz w:val="22"/>
          <w:szCs w:val="22"/>
        </w:rPr>
        <w:t xml:space="preserve">5.2	If a question or request for clarification is considered to be of material significance, both the question and the response will be communicated in anonymised form to all Candidates.</w:t>
      </w:r>
    </w:p>
    <w:p>
      <w:pPr>
        <w:tabs>
          <w:tab w:val="left" w:pos="720"/>
        </w:tabs>
        <w:spacing w:after="120"/>
        <w:ind w:left="720" w:hanging="720"/>
      </w:pPr>
      <w:r>
        <w:rPr>
          <w:rFonts w:ascii="Times New Roman" w:cs="Times New Roman" w:eastAsia="Times New Roman" w:hAnsi="Times New Roman"/>
          <w:sz w:val="22"/>
          <w:szCs w:val="22"/>
        </w:rPr>
        <w:t xml:space="preserve">5.3	If a Candidate wishes a question to be treated as confidential, this must be stated when it is submitted. Where the College considers a question cannot be answered on a confidential basis, the Candidate will be given the opportunity to withdraw it before the response is shared with all Candidates.</w:t>
      </w:r>
    </w:p>
    <w:p>
      <w:pPr>
        <w:keepNext/>
        <w:spacing w:after="120" w:before="240"/>
      </w:pPr>
      <w:r>
        <w:rPr>
          <w:rFonts w:ascii="Arial" w:cs="Arial" w:eastAsia="Arial" w:hAnsi="Arial"/>
          <w:b/>
          <w:bCs/>
          <w:color w:val="1F3864"/>
          <w:sz w:val="26"/>
          <w:szCs w:val="26"/>
        </w:rPr>
        <w:t xml:space="preserve">6. Timetable</w:t>
      </w:r>
    </w:p>
    <w:p>
      <w:pPr>
        <w:tabs>
          <w:tab w:val="left" w:pos="720"/>
        </w:tabs>
        <w:spacing w:after="120"/>
        <w:ind w:left="720" w:hanging="720"/>
      </w:pPr>
      <w:r>
        <w:rPr>
          <w:rFonts w:ascii="Times New Roman" w:cs="Times New Roman" w:eastAsia="Times New Roman" w:hAnsi="Times New Roman"/>
          <w:sz w:val="22"/>
          <w:szCs w:val="22"/>
        </w:rPr>
        <w:t xml:space="preserve">6.1	An indicative timetable is set out at Appendix 5. The College may vary the timetable and will notify all Candidates of any change.</w:t>
      </w:r>
    </w:p>
    <w:p>
      <w:pPr>
        <w:keepNext/>
        <w:spacing w:after="120" w:before="240"/>
      </w:pPr>
      <w:r>
        <w:rPr>
          <w:rFonts w:ascii="Arial" w:cs="Arial" w:eastAsia="Arial" w:hAnsi="Arial"/>
          <w:b/>
          <w:bCs/>
          <w:color w:val="1F3864"/>
          <w:sz w:val="26"/>
          <w:szCs w:val="26"/>
        </w:rPr>
        <w:t xml:space="preserve">7. Submission requirements</w:t>
      </w:r>
    </w:p>
    <w:p>
      <w:pPr>
        <w:tabs>
          <w:tab w:val="left" w:pos="720"/>
        </w:tabs>
        <w:spacing w:after="120"/>
        <w:ind w:left="720" w:hanging="720"/>
      </w:pPr>
      <w:r>
        <w:rPr>
          <w:rFonts w:ascii="Times New Roman" w:cs="Times New Roman" w:eastAsia="Times New Roman" w:hAnsi="Times New Roman"/>
          <w:sz w:val="22"/>
          <w:szCs w:val="22"/>
        </w:rPr>
        <w:t xml:space="preserve">7.1	Candidates must submit their Tender by email to Carly Sidebottom (Csidebottom@lcb.ac.uk) and Rachel Nichol (Rnichol@lcb.ac.uk) no later than 6 November 2026, by completing the Selection Questionnaire at Appendix 2 and the award questions at Appendix 3, with supporting documents attached where indicated. No other application route exists.</w:t>
      </w:r>
    </w:p>
    <w:p>
      <w:pPr>
        <w:tabs>
          <w:tab w:val="left" w:pos="720"/>
        </w:tabs>
        <w:spacing w:after="120"/>
        <w:ind w:left="720" w:hanging="720"/>
      </w:pPr>
      <w:r>
        <w:rPr>
          <w:rFonts w:ascii="Times New Roman" w:cs="Times New Roman" w:eastAsia="Times New Roman" w:hAnsi="Times New Roman"/>
          <w:sz w:val="22"/>
          <w:szCs w:val="22"/>
        </w:rPr>
        <w:t xml:space="preserve">7.2	A Tender that does not contain all information required may not be considered valid.</w:t>
      </w:r>
    </w:p>
    <w:p>
      <w:pPr>
        <w:tabs>
          <w:tab w:val="left" w:pos="720"/>
        </w:tabs>
        <w:spacing w:after="120"/>
        <w:ind w:left="720" w:hanging="720"/>
      </w:pPr>
      <w:r>
        <w:rPr>
          <w:rFonts w:ascii="Times New Roman" w:cs="Times New Roman" w:eastAsia="Times New Roman" w:hAnsi="Times New Roman"/>
          <w:sz w:val="22"/>
          <w:szCs w:val="22"/>
        </w:rPr>
        <w:t xml:space="preserve">7.3	By submitting its Tender, the Candidate warrants that all information communicated to the College is true, complete and accurate; that it has made its own investigations and satisfied itself as to all matters relating to this ITT; and that it has full power and authority to respond to this ITT and to perform the obligations of the subcontract.</w:t>
      </w:r>
    </w:p>
    <w:p>
      <w:pPr>
        <w:tabs>
          <w:tab w:val="left" w:pos="720"/>
        </w:tabs>
        <w:spacing w:after="120"/>
        <w:ind w:left="720" w:hanging="720"/>
      </w:pPr>
      <w:r>
        <w:rPr>
          <w:rFonts w:ascii="Times New Roman" w:cs="Times New Roman" w:eastAsia="Times New Roman" w:hAnsi="Times New Roman"/>
          <w:sz w:val="22"/>
          <w:szCs w:val="22"/>
        </w:rPr>
        <w:t xml:space="preserve">7.4	Where there is a change to information provided to the College at any time, the Candidate must advise the College as soon as practicable and disclose the change in full.</w:t>
      </w:r>
    </w:p>
    <w:p>
      <w:pPr>
        <w:tabs>
          <w:tab w:val="left" w:pos="720"/>
        </w:tabs>
        <w:spacing w:after="120"/>
        <w:ind w:left="720" w:hanging="720"/>
      </w:pPr>
      <w:r>
        <w:rPr>
          <w:rFonts w:ascii="Times New Roman" w:cs="Times New Roman" w:eastAsia="Times New Roman" w:hAnsi="Times New Roman"/>
          <w:sz w:val="22"/>
          <w:szCs w:val="22"/>
        </w:rPr>
        <w:t xml:space="preserve">7.5	Tenders must be written in English. Word limits apply to the responses to the questions in Appendix 3; text submitted in excess of the stated limit will be disregarded for evaluation purposes.</w:t>
      </w:r>
    </w:p>
    <w:p>
      <w:pPr>
        <w:keepNext/>
        <w:spacing w:after="120" w:before="240"/>
      </w:pPr>
      <w:r>
        <w:rPr>
          <w:rFonts w:ascii="Arial" w:cs="Arial" w:eastAsia="Arial" w:hAnsi="Arial"/>
          <w:b/>
          <w:bCs/>
          <w:color w:val="1F3864"/>
          <w:sz w:val="26"/>
          <w:szCs w:val="26"/>
        </w:rPr>
        <w:t xml:space="preserve">8. Other Tender rules</w:t>
      </w:r>
    </w:p>
    <w:p>
      <w:pPr>
        <w:tabs>
          <w:tab w:val="left" w:pos="720"/>
        </w:tabs>
        <w:spacing w:after="120"/>
        <w:ind w:left="720" w:hanging="720"/>
      </w:pPr>
      <w:r>
        <w:rPr>
          <w:rFonts w:ascii="Times New Roman" w:cs="Times New Roman" w:eastAsia="Times New Roman" w:hAnsi="Times New Roman"/>
          <w:sz w:val="22"/>
          <w:szCs w:val="22"/>
        </w:rPr>
        <w:t xml:space="preserve">8.1	This ITT shall not have contractual effect between the College and any other person. Participation in this process does not create any form of contract (implied or otherwise).</w:t>
      </w:r>
    </w:p>
    <w:p>
      <w:pPr>
        <w:tabs>
          <w:tab w:val="left" w:pos="720"/>
        </w:tabs>
        <w:spacing w:after="120"/>
        <w:ind w:left="720" w:hanging="720"/>
      </w:pPr>
      <w:r>
        <w:rPr>
          <w:rFonts w:ascii="Times New Roman" w:cs="Times New Roman" w:eastAsia="Times New Roman" w:hAnsi="Times New Roman"/>
          <w:sz w:val="22"/>
          <w:szCs w:val="22"/>
        </w:rPr>
        <w:t xml:space="preserve">8.2	Neither the College nor WYCA is bound to award a subcontract as a result of this procurement process.</w:t>
      </w:r>
    </w:p>
    <w:p>
      <w:pPr>
        <w:tabs>
          <w:tab w:val="left" w:pos="720"/>
        </w:tabs>
        <w:spacing w:after="120"/>
        <w:ind w:left="720" w:hanging="720"/>
      </w:pPr>
      <w:r>
        <w:rPr>
          <w:rFonts w:ascii="Times New Roman" w:cs="Times New Roman" w:eastAsia="Times New Roman" w:hAnsi="Times New Roman"/>
          <w:sz w:val="22"/>
          <w:szCs w:val="22"/>
        </w:rPr>
        <w:t xml:space="preserve">8.3	This ITT and any accompanying documents have been prepared in good faith, but neither the College, WYCA, nor their representatives give any warranty or accept any liability in relation to the completeness, fitness for purpose or accuracy of this ITT.</w:t>
      </w:r>
    </w:p>
    <w:p>
      <w:pPr>
        <w:tabs>
          <w:tab w:val="left" w:pos="720"/>
        </w:tabs>
        <w:spacing w:after="120"/>
        <w:ind w:left="720" w:hanging="720"/>
      </w:pPr>
      <w:r>
        <w:rPr>
          <w:rFonts w:ascii="Times New Roman" w:cs="Times New Roman" w:eastAsia="Times New Roman" w:hAnsi="Times New Roman"/>
          <w:sz w:val="22"/>
          <w:szCs w:val="22"/>
        </w:rPr>
        <w:t xml:space="preserve">8.4	No publicity regarding this procurement process will be permitted unless and until the College has given express written consent.</w:t>
      </w:r>
    </w:p>
    <w:p>
      <w:pPr>
        <w:keepNext/>
        <w:spacing w:after="120" w:before="240"/>
      </w:pPr>
      <w:r>
        <w:rPr>
          <w:rFonts w:ascii="Arial" w:cs="Arial" w:eastAsia="Arial" w:hAnsi="Arial"/>
          <w:b/>
          <w:bCs/>
          <w:color w:val="1F3864"/>
          <w:sz w:val="26"/>
          <w:szCs w:val="26"/>
        </w:rPr>
        <w:t xml:space="preserve">9. Confidentiality</w:t>
      </w:r>
    </w:p>
    <w:p>
      <w:pPr>
        <w:tabs>
          <w:tab w:val="left" w:pos="720"/>
        </w:tabs>
        <w:spacing w:after="120"/>
        <w:ind w:left="720" w:hanging="720"/>
      </w:pPr>
      <w:r>
        <w:rPr>
          <w:rFonts w:ascii="Times New Roman" w:cs="Times New Roman" w:eastAsia="Times New Roman" w:hAnsi="Times New Roman"/>
          <w:sz w:val="22"/>
          <w:szCs w:val="22"/>
        </w:rPr>
        <w:t xml:space="preserve">9.1	Each party shall treat the contents of this ITT and any related documents as confidential, and shall not disclose such information to a third party without the prior written consent of the College, except where disclosure is required by law or by WYCA.</w:t>
      </w:r>
    </w:p>
    <w:p>
      <w:pPr>
        <w:keepNext/>
        <w:spacing w:after="120" w:before="240"/>
      </w:pPr>
      <w:r>
        <w:rPr>
          <w:rFonts w:ascii="Arial" w:cs="Arial" w:eastAsia="Arial" w:hAnsi="Arial"/>
          <w:b/>
          <w:bCs/>
          <w:color w:val="1F3864"/>
          <w:sz w:val="26"/>
          <w:szCs w:val="26"/>
        </w:rPr>
        <w:t xml:space="preserve">10. Candidate conduct, conflicts of interest and disqualification</w:t>
      </w:r>
    </w:p>
    <w:p>
      <w:pPr>
        <w:tabs>
          <w:tab w:val="left" w:pos="720"/>
        </w:tabs>
        <w:spacing w:after="120"/>
        <w:ind w:left="720" w:hanging="720"/>
      </w:pPr>
      <w:r>
        <w:rPr>
          <w:rFonts w:ascii="Times New Roman" w:cs="Times New Roman" w:eastAsia="Times New Roman" w:hAnsi="Times New Roman"/>
          <w:sz w:val="22"/>
          <w:szCs w:val="22"/>
        </w:rPr>
        <w:t xml:space="preserve">10.1	The College reserves the right to disqualify a Candidate that, in connection with this procurement process: enters into any agreement with another Candidate to refrain from participating; offers any inducement to any person in relation to this process which is likely to affect competition; canvasses or solicits any representative of the College or WYCA in connection with the evaluation of Tenders; or does anything which would constitute an offence under the Bribery Act 2010.</w:t>
      </w:r>
    </w:p>
    <w:p>
      <w:pPr>
        <w:tabs>
          <w:tab w:val="left" w:pos="720"/>
        </w:tabs>
        <w:spacing w:after="120"/>
        <w:ind w:left="720" w:hanging="720"/>
      </w:pPr>
      <w:r>
        <w:rPr>
          <w:rFonts w:ascii="Times New Roman" w:cs="Times New Roman" w:eastAsia="Times New Roman" w:hAnsi="Times New Roman"/>
          <w:sz w:val="22"/>
          <w:szCs w:val="22"/>
        </w:rPr>
        <w:t xml:space="preserve">10.2	Candidates are responsible for ensuring that no conflicts of interest exist between themselves and the College, WYCA or their representatives at any time, and must notify the College as soon as possible of any material change that could give rise to such a conflict.</w:t>
      </w:r>
    </w:p>
    <w:p>
      <w:pPr>
        <w:keepNext/>
        <w:spacing w:after="120" w:before="240"/>
      </w:pPr>
      <w:r>
        <w:rPr>
          <w:rFonts w:ascii="Arial" w:cs="Arial" w:eastAsia="Arial" w:hAnsi="Arial"/>
          <w:b/>
          <w:bCs/>
          <w:color w:val="1F3864"/>
          <w:sz w:val="26"/>
          <w:szCs w:val="26"/>
        </w:rPr>
        <w:t xml:space="preserve">11. The College's rights</w:t>
      </w:r>
    </w:p>
    <w:p>
      <w:pPr>
        <w:tabs>
          <w:tab w:val="left" w:pos="720"/>
        </w:tabs>
        <w:spacing w:after="120"/>
        <w:ind w:left="720" w:hanging="720"/>
      </w:pPr>
      <w:r>
        <w:rPr>
          <w:rFonts w:ascii="Times New Roman" w:cs="Times New Roman" w:eastAsia="Times New Roman" w:hAnsi="Times New Roman"/>
          <w:sz w:val="22"/>
          <w:szCs w:val="22"/>
        </w:rPr>
        <w:t xml:space="preserve">11.1	The College reserves the right to: waive or change the requirements of this ITT from time to time; seek written clarification or additional documents in respect of a Tender; disqualify any Candidate that does not submit a compliant Tender or that is guilty of material misrepresentation; terminate this procurement process and withdraw this ITT at any time; and contact any person referred to in a Tender for the purposes of verification.</w:t>
      </w:r>
    </w:p>
    <w:p>
      <w:pPr>
        <w:tabs>
          <w:tab w:val="left" w:pos="720"/>
        </w:tabs>
        <w:spacing w:after="120"/>
        <w:ind w:left="720" w:hanging="720"/>
      </w:pPr>
      <w:r>
        <w:rPr>
          <w:rFonts w:ascii="Times New Roman" w:cs="Times New Roman" w:eastAsia="Times New Roman" w:hAnsi="Times New Roman"/>
          <w:sz w:val="22"/>
          <w:szCs w:val="22"/>
        </w:rPr>
        <w:t xml:space="preserve">11.2	Any subcontract award remains conditional on WYCA's prior written approval of the named Provider(s) and the associated Delivery Plan, in accordance with WYCA's ASF Funding Rules.</w:t>
      </w:r>
    </w:p>
    <w:p>
      <w:pPr>
        <w:keepNext/>
        <w:spacing w:after="120" w:before="240"/>
      </w:pPr>
      <w:r>
        <w:rPr>
          <w:rFonts w:ascii="Arial" w:cs="Arial" w:eastAsia="Arial" w:hAnsi="Arial"/>
          <w:b/>
          <w:bCs/>
          <w:color w:val="1F3864"/>
          <w:sz w:val="26"/>
          <w:szCs w:val="26"/>
        </w:rPr>
        <w:t xml:space="preserve">12. Tender costs</w:t>
      </w:r>
    </w:p>
    <w:p>
      <w:pPr>
        <w:tabs>
          <w:tab w:val="left" w:pos="720"/>
        </w:tabs>
        <w:spacing w:after="120"/>
        <w:ind w:left="720" w:hanging="720"/>
      </w:pPr>
      <w:r>
        <w:rPr>
          <w:rFonts w:ascii="Times New Roman" w:cs="Times New Roman" w:eastAsia="Times New Roman" w:hAnsi="Times New Roman"/>
          <w:sz w:val="22"/>
          <w:szCs w:val="22"/>
        </w:rPr>
        <w:t xml:space="preserve">12.1	The College will not be liable for any costs, expenditure, work or effort incurred by a Candidate in participating in this procurement process, including if the process is terminated or changed by the College.</w:t>
      </w:r>
    </w:p>
    <w:p>
      <w:pPr>
        <w:keepNext/>
        <w:spacing w:after="120" w:before="240"/>
      </w:pPr>
      <w:r>
        <w:rPr>
          <w:rFonts w:ascii="Arial" w:cs="Arial" w:eastAsia="Arial" w:hAnsi="Arial"/>
          <w:b/>
          <w:bCs/>
          <w:color w:val="1F3864"/>
          <w:sz w:val="26"/>
          <w:szCs w:val="26"/>
        </w:rPr>
        <w:t xml:space="preserve">13. Applicable law</w:t>
      </w:r>
    </w:p>
    <w:p>
      <w:pPr>
        <w:tabs>
          <w:tab w:val="left" w:pos="720"/>
        </w:tabs>
        <w:spacing w:after="120"/>
        <w:ind w:left="720" w:hanging="720"/>
      </w:pPr>
      <w:r>
        <w:rPr>
          <w:rFonts w:ascii="Times New Roman" w:cs="Times New Roman" w:eastAsia="Times New Roman" w:hAnsi="Times New Roman"/>
          <w:sz w:val="22"/>
          <w:szCs w:val="22"/>
        </w:rPr>
        <w:t xml:space="preserve">13.1	This ITT and this procurement process are governed by English law, and the English courts shall have exclusive jurisdiction over any claims arising out of or in connection with it.</w:t>
      </w:r>
    </w:p>
    <w:p>
      <w:r>
        <w:br w:type="page"/>
      </w:r>
    </w:p>
    <w:p>
      <w:pPr>
        <w:spacing w:after="200" w:before="240"/>
      </w:pPr>
      <w:r>
        <w:rPr>
          <w:rFonts w:ascii="Arial" w:cs="Arial" w:eastAsia="Arial" w:hAnsi="Arial"/>
          <w:b/>
          <w:bCs/>
          <w:color w:val="1F3864"/>
          <w:sz w:val="32"/>
          <w:szCs w:val="32"/>
        </w:rPr>
        <w:t xml:space="preserve">Part 2: Evaluation and Award</w:t>
      </w:r>
    </w:p>
    <w:p>
      <w:pPr>
        <w:keepNext/>
        <w:spacing w:after="120" w:before="240"/>
      </w:pPr>
      <w:r>
        <w:rPr>
          <w:rFonts w:ascii="Arial" w:cs="Arial" w:eastAsia="Arial" w:hAnsi="Arial"/>
          <w:b/>
          <w:bCs/>
          <w:color w:val="1F3864"/>
          <w:sz w:val="26"/>
          <w:szCs w:val="26"/>
        </w:rPr>
        <w:t xml:space="preserve">14. Evaluation</w:t>
      </w:r>
    </w:p>
    <w:p>
      <w:pPr>
        <w:tabs>
          <w:tab w:val="left" w:pos="720"/>
        </w:tabs>
        <w:spacing w:after="120"/>
        <w:ind w:left="720" w:hanging="720"/>
      </w:pPr>
      <w:r>
        <w:rPr>
          <w:rFonts w:ascii="Times New Roman" w:cs="Times New Roman" w:eastAsia="Times New Roman" w:hAnsi="Times New Roman"/>
          <w:sz w:val="22"/>
          <w:szCs w:val="22"/>
        </w:rPr>
        <w:t xml:space="preserve">14.1	The award criteria will be applied to evaluate and score the Tenders submitted. The award criteria, scores and minimum pass thresholds are set out below.</w:t>
      </w:r>
    </w:p>
    <w:p>
      <w:pPr>
        <w:tabs>
          <w:tab w:val="left" w:pos="720"/>
        </w:tabs>
        <w:spacing w:after="120"/>
        <w:ind w:left="720" w:hanging="720"/>
      </w:pPr>
      <w:r>
        <w:rPr>
          <w:rFonts w:ascii="Times New Roman" w:cs="Times New Roman" w:eastAsia="Times New Roman" w:hAnsi="Times New Roman"/>
          <w:sz w:val="22"/>
          <w:szCs w:val="22"/>
        </w:rPr>
        <w:t xml:space="preserve">14.2	Tenders must first pass the Selection Questionnaire (Appendix 2), which is assessed on a pass/fail basis. Tenders that pass will then be scored against the award questions in Appendix 3.</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3350"/>
        <w:gridCol w:w="3000"/>
      </w:tblGrid>
      <w:tr>
        <w:trPr>
          <w:tblHeader/>
        </w:trPr>
        <w:tc>
          <w:tcPr>
            <w:tcW w:type="dxa" w:w="3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Headline Criteria</w:t>
            </w:r>
          </w:p>
        </w:tc>
        <w:tc>
          <w:tcPr>
            <w:tcW w:type="dxa" w:w="3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Award Question(s) (Appendix 3)</w:t>
            </w:r>
          </w:p>
        </w:tc>
        <w:tc>
          <w:tcPr>
            <w:tcW w:type="dxa" w:w="3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Available Score (out of 1000)</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Quality</w:t>
            </w:r>
          </w:p>
        </w:tc>
        <w:tc>
          <w:tcPr>
            <w:tcW w:type="dxa" w:w="3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Questions Q1 to Q6 (Appendix 3A)</w:t>
            </w:r>
          </w:p>
        </w:tc>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700</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Pricing</w:t>
            </w:r>
          </w:p>
        </w:tc>
        <w:tc>
          <w:tcPr>
            <w:tcW w:type="dxa" w:w="3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P1 (Appendix 3B)</w:t>
            </w:r>
          </w:p>
        </w:tc>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300</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TOTAL</w:t>
            </w:r>
          </w:p>
        </w:tc>
        <w:tc>
          <w:tcPr>
            <w:tcW w:type="dxa" w:w="3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
            </w:r>
          </w:p>
        </w:tc>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1000</w:t>
            </w:r>
          </w:p>
        </w:tc>
      </w:tr>
    </w:tbl>
    <w:p>
      <w:pPr>
        <w:spacing w:before="160"/>
      </w:pPr>
    </w:p>
    <w:p>
      <w:pPr>
        <w:keepNext/>
        <w:spacing w:after="100" w:before="160"/>
      </w:pPr>
      <w:r>
        <w:rPr>
          <w:rFonts w:ascii="Arial" w:cs="Arial" w:eastAsia="Arial" w:hAnsi="Arial"/>
          <w:b/>
          <w:bCs/>
          <w:color w:val="1F3864"/>
          <w:sz w:val="22"/>
          <w:szCs w:val="22"/>
        </w:rPr>
        <w:t xml:space="preserve">Quality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1700"/>
        <w:gridCol w:w="1350"/>
        <w:gridCol w:w="1700"/>
        <w:gridCol w:w="1600"/>
      </w:tblGrid>
      <w:tr>
        <w:trPr>
          <w:tblHeader/>
        </w:trPr>
        <w:tc>
          <w:tcPr>
            <w:tcW w:type="dxa" w:w="3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Criteria</w:t>
            </w:r>
          </w:p>
        </w:tc>
        <w:tc>
          <w:tcPr>
            <w:tcW w:type="dxa" w:w="17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Award Question (Appendix 3A)</w:t>
            </w:r>
          </w:p>
        </w:tc>
        <w:tc>
          <w:tcPr>
            <w:tcW w:type="dxa" w:w="1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Minimum Pass Threshold</w:t>
            </w:r>
          </w:p>
        </w:tc>
        <w:tc>
          <w:tcPr>
            <w:tcW w:type="dxa" w:w="17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Available Score (out of 700)</w:t>
            </w:r>
          </w:p>
        </w:tc>
        <w:tc>
          <w:tcPr>
            <w:tcW w:type="dxa" w:w="16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Weighting</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Methodology — Readiness to Deliver</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Q1</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60%</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140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High</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Additionality — Complementing existing provision</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Q2</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60%</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140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High</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Meeting Learner Needs, incl. progression from Level 1 pathways</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Q3</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N/A</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120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High</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Meeting economic and strategic needs, employer links and partnership working</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Q4</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60%</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120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High</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Funding Compliance &amp; Performance Management</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Q5</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N/A</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90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Medium</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Quality Assurance</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Q6</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N/A</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90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Medium</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Delivery Plan</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Question Q7</w:t>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N/A</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Not scored</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Mandatory</w:t>
            </w:r>
          </w:p>
        </w:tc>
      </w:tr>
      <w:tr>
        <w:tc>
          <w:tcPr>
            <w:tcW w:type="dxa" w:w="3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TOTAL</w:t>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
            </w:r>
          </w:p>
        </w:tc>
        <w:tc>
          <w:tcPr>
            <w:tcW w:type="dxa" w:w="1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
            </w:r>
          </w:p>
        </w:tc>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700</w:t>
            </w:r>
          </w:p>
        </w:tc>
        <w:tc>
          <w:tcPr>
            <w:tcW w:type="dxa" w:w="16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
            </w:r>
          </w:p>
        </w:tc>
      </w:tr>
    </w:tbl>
    <w:p>
      <w:pPr>
        <w:spacing w:before="160"/>
      </w:pPr>
    </w:p>
    <w:p>
      <w:pPr>
        <w:tabs>
          <w:tab w:val="left" w:pos="720"/>
        </w:tabs>
        <w:spacing w:after="120"/>
        <w:ind w:left="720" w:hanging="720"/>
      </w:pPr>
      <w:r>
        <w:rPr>
          <w:rFonts w:ascii="Times New Roman" w:cs="Times New Roman" w:eastAsia="Times New Roman" w:hAnsi="Times New Roman"/>
          <w:sz w:val="22"/>
          <w:szCs w:val="22"/>
        </w:rPr>
        <w:t xml:space="preserve">14.3	Questions Q1, Q2 and Q4 carry a minimum pass threshold of Acceptable (60%). A Tender scoring below this on any of these questions will not be considered for award, regardless of its total score.</w:t>
      </w:r>
    </w:p>
    <w:p>
      <w:pPr>
        <w:tabs>
          <w:tab w:val="left" w:pos="720"/>
        </w:tabs>
        <w:spacing w:after="120"/>
        <w:ind w:left="720" w:hanging="720"/>
      </w:pPr>
      <w:r>
        <w:rPr>
          <w:rFonts w:ascii="Times New Roman" w:cs="Times New Roman" w:eastAsia="Times New Roman" w:hAnsi="Times New Roman"/>
          <w:sz w:val="22"/>
          <w:szCs w:val="22"/>
        </w:rPr>
        <w:t xml:space="preserve">14.4	The Delivery Plan (Question Q7) is not scored, but failure to submit it will result in immediate dismissal of the Tender. It will be reviewed holistically with the responses to the other questions and used to inform award.</w:t>
      </w:r>
    </w:p>
    <w:p>
      <w:pPr>
        <w:keepNext/>
        <w:spacing w:after="100" w:before="160"/>
      </w:pPr>
      <w:r>
        <w:rPr>
          <w:rFonts w:ascii="Arial" w:cs="Arial" w:eastAsia="Arial" w:hAnsi="Arial"/>
          <w:b/>
          <w:bCs/>
          <w:color w:val="1F3864"/>
          <w:sz w:val="22"/>
          <w:szCs w:val="22"/>
        </w:rPr>
        <w:t xml:space="preserve">Scoring grid</w:t>
      </w:r>
    </w:p>
    <w:p>
      <w:pPr>
        <w:tabs>
          <w:tab w:val="left" w:pos="720"/>
        </w:tabs>
        <w:spacing w:after="120"/>
        <w:ind w:left="720" w:hanging="720"/>
      </w:pPr>
      <w:r>
        <w:rPr>
          <w:rFonts w:ascii="Times New Roman" w:cs="Times New Roman" w:eastAsia="Times New Roman" w:hAnsi="Times New Roman"/>
          <w:sz w:val="22"/>
          <w:szCs w:val="22"/>
        </w:rPr>
        <w:t xml:space="preserve">14.5	Responses to Questions Q1 to Q6 will be scored using the grid below. The score awarded is applied as a percentage of the available score for that question.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900"/>
        <w:gridCol w:w="7050"/>
      </w:tblGrid>
      <w:tr>
        <w:trPr>
          <w:tblHeader/>
        </w:trPr>
        <w:tc>
          <w:tcPr>
            <w:tcW w:type="dxa" w:w="14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Rating</w:t>
            </w:r>
          </w:p>
        </w:tc>
        <w:tc>
          <w:tcPr>
            <w:tcW w:type="dxa" w:w="9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Score</w:t>
            </w:r>
          </w:p>
        </w:tc>
        <w:tc>
          <w:tcPr>
            <w:tcW w:type="dxa" w:w="70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Definition</w:t>
            </w:r>
          </w:p>
        </w:tc>
      </w:tr>
      <w:tr>
        <w:tc>
          <w:tcPr>
            <w:tcW w:type="dxa" w:w="14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Excellent</w:t>
            </w:r>
          </w:p>
        </w:tc>
        <w:tc>
          <w:tcPr>
            <w:tcW w:type="dxa" w:w="9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100%</w:t>
            </w:r>
          </w:p>
        </w:tc>
        <w:tc>
          <w:tcPr>
            <w:tcW w:type="dxa" w:w="70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Exceeds the requirement: As for “Good” but the Candidate additionally provides exceptional demonstration of its ability, understanding, experience, skills, resource and quality measures required to provide the Services. The response also identifies factors that will offer potential added value over and above the College's and the Combined Authority's requirements as set out in the Specification, with evidence to support the response.</w:t>
            </w:r>
          </w:p>
        </w:tc>
      </w:tr>
      <w:tr>
        <w:tc>
          <w:tcPr>
            <w:tcW w:type="dxa" w:w="14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Good</w:t>
            </w:r>
          </w:p>
        </w:tc>
        <w:tc>
          <w:tcPr>
            <w:tcW w:type="dxa" w:w="9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80%</w:t>
            </w:r>
          </w:p>
        </w:tc>
        <w:tc>
          <w:tcPr>
            <w:tcW w:type="dxa" w:w="70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Satisfies the requirement and provides confidence of ability to deliver Services: Above average demonstration by the Candidate of the relevant ability, understanding, experience, skills, resource and quality measures required to provide the Services. The response provides a sufficient level of detail and evidence of a proven track record in delivering similar services so as to give the College and the Combined Authority confidence that the Candidate will be able to deliver the Services in a way which fully complies in all material respects with their requirements.</w:t>
            </w:r>
          </w:p>
        </w:tc>
      </w:tr>
      <w:tr>
        <w:tc>
          <w:tcPr>
            <w:tcW w:type="dxa" w:w="14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Acceptable</w:t>
            </w:r>
          </w:p>
        </w:tc>
        <w:tc>
          <w:tcPr>
            <w:tcW w:type="dxa" w:w="9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60%</w:t>
            </w:r>
          </w:p>
        </w:tc>
        <w:tc>
          <w:tcPr>
            <w:tcW w:type="dxa" w:w="70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Appears to satisfy the requirement: Demonstration by the Candidate of the relevant ability, understanding, experience, skills, resources and quality measures required to provide the Services, with evidence to support the response.</w:t>
            </w:r>
          </w:p>
        </w:tc>
      </w:tr>
      <w:tr>
        <w:tc>
          <w:tcPr>
            <w:tcW w:type="dxa" w:w="14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Minor Reservations</w:t>
            </w:r>
          </w:p>
        </w:tc>
        <w:tc>
          <w:tcPr>
            <w:tcW w:type="dxa" w:w="9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40%</w:t>
            </w:r>
          </w:p>
        </w:tc>
        <w:tc>
          <w:tcPr>
            <w:tcW w:type="dxa" w:w="70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Appears to satisfy the requirement with reservations: Some reservations about the Candidate's relevant ability, understanding, experience, skills, resources and quality measures required to provide the Services, with limited evidence to support the response.</w:t>
            </w:r>
          </w:p>
        </w:tc>
      </w:tr>
      <w:tr>
        <w:tc>
          <w:tcPr>
            <w:tcW w:type="dxa" w:w="14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Serious Reservations</w:t>
            </w:r>
          </w:p>
        </w:tc>
        <w:tc>
          <w:tcPr>
            <w:tcW w:type="dxa" w:w="9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20%</w:t>
            </w:r>
          </w:p>
        </w:tc>
        <w:tc>
          <w:tcPr>
            <w:tcW w:type="dxa" w:w="70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Appears to satisfy the requirement with major reservations: Considerable reservations about the Candidate's relevant ability, understanding, experience, skills, resources and quality measures required to provide the Services, with little or no evidence to support the response.</w:t>
            </w:r>
          </w:p>
        </w:tc>
      </w:tr>
      <w:tr>
        <w:tc>
          <w:tcPr>
            <w:tcW w:type="dxa" w:w="14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Unacceptable</w:t>
            </w:r>
          </w:p>
        </w:tc>
        <w:tc>
          <w:tcPr>
            <w:tcW w:type="dxa" w:w="9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0%</w:t>
            </w:r>
          </w:p>
        </w:tc>
        <w:tc>
          <w:tcPr>
            <w:tcW w:type="dxa" w:w="70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Does not meet the requirement: Does not comply and/or insufficient information provided to demonstrate that the Candidate has the ability, understanding, experience, skills, resource and quality measures required to provide the Services, with little or no evidence to support the response.</w:t>
            </w:r>
          </w:p>
        </w:tc>
      </w:tr>
    </w:tbl>
    <w:p>
      <w:pPr>
        <w:spacing w:before="160"/>
      </w:pPr>
    </w:p>
    <w:p>
      <w:pPr>
        <w:keepNext/>
        <w:spacing w:after="120" w:before="240"/>
      </w:pPr>
      <w:r>
        <w:rPr>
          <w:rFonts w:ascii="Arial" w:cs="Arial" w:eastAsia="Arial" w:hAnsi="Arial"/>
          <w:b/>
          <w:bCs/>
          <w:color w:val="1F3864"/>
          <w:sz w:val="26"/>
          <w:szCs w:val="26"/>
        </w:rPr>
        <w:t xml:space="preserve">15. Contract award</w:t>
      </w:r>
    </w:p>
    <w:p>
      <w:pPr>
        <w:tabs>
          <w:tab w:val="left" w:pos="720"/>
        </w:tabs>
        <w:spacing w:after="120"/>
        <w:ind w:left="720" w:hanging="720"/>
      </w:pPr>
      <w:r>
        <w:rPr>
          <w:rFonts w:ascii="Times New Roman" w:cs="Times New Roman" w:eastAsia="Times New Roman" w:hAnsi="Times New Roman"/>
          <w:sz w:val="22"/>
          <w:szCs w:val="22"/>
        </w:rPr>
        <w:t xml:space="preserve">15.1	The College may award a subcontract on the basis of a Tender submitted in accordance with this ITT, following completion of evaluation and subject to WYCA's prior written approval of the named Provider(s) and Delivery Plan.</w:t>
      </w:r>
    </w:p>
    <w:p>
      <w:pPr>
        <w:tabs>
          <w:tab w:val="left" w:pos="720"/>
        </w:tabs>
        <w:spacing w:after="120"/>
        <w:ind w:left="720" w:hanging="720"/>
      </w:pPr>
      <w:r>
        <w:rPr>
          <w:rFonts w:ascii="Times New Roman" w:cs="Times New Roman" w:eastAsia="Times New Roman" w:hAnsi="Times New Roman"/>
          <w:sz w:val="22"/>
          <w:szCs w:val="22"/>
        </w:rPr>
        <w:t xml:space="preserve">15.2	Award will be made on the basis of the Most Economically Advantageous Tender — the highest scoring Tender using the combined scores for Quality and Pricing.</w:t>
      </w:r>
    </w:p>
    <w:p>
      <w:pPr>
        <w:tabs>
          <w:tab w:val="left" w:pos="720"/>
        </w:tabs>
        <w:spacing w:after="120"/>
        <w:ind w:left="720" w:hanging="720"/>
      </w:pPr>
      <w:r>
        <w:rPr>
          <w:rFonts w:ascii="Times New Roman" w:cs="Times New Roman" w:eastAsia="Times New Roman" w:hAnsi="Times New Roman"/>
          <w:sz w:val="22"/>
          <w:szCs w:val="22"/>
        </w:rPr>
        <w:t xml:space="preserve">15.3	There is no obligation on the College to accept the lowest, or any, Tender. Until WYCA's approval is obtained, no subcontract will be entered into.</w:t>
      </w:r>
    </w:p>
    <w:p>
      <w:pPr>
        <w:tabs>
          <w:tab w:val="left" w:pos="720"/>
        </w:tabs>
        <w:spacing w:after="120"/>
        <w:ind w:left="720" w:hanging="720"/>
      </w:pPr>
      <w:r>
        <w:rPr>
          <w:rFonts w:ascii="Times New Roman" w:cs="Times New Roman" w:eastAsia="Times New Roman" w:hAnsi="Times New Roman"/>
          <w:sz w:val="22"/>
          <w:szCs w:val="22"/>
        </w:rPr>
        <w:t xml:space="preserve">15.4	The College reserves the right to cancel or abandon this procurement process and not award a subcontract. The College shall not be liable to any Candidate as a result of taking this action.</w:t>
      </w:r>
    </w:p>
    <w:p>
      <w:pPr>
        <w:tabs>
          <w:tab w:val="left" w:pos="720"/>
        </w:tabs>
        <w:spacing w:after="120"/>
        <w:ind w:left="720" w:hanging="720"/>
      </w:pPr>
      <w:r>
        <w:rPr>
          <w:rFonts w:ascii="Times New Roman" w:cs="Times New Roman" w:eastAsia="Times New Roman" w:hAnsi="Times New Roman"/>
          <w:sz w:val="22"/>
          <w:szCs w:val="22"/>
        </w:rPr>
        <w:t xml:space="preserve">15.5	Unsuccessful Candidates will be notified of the outcome and, so far as practicable, given feedback on their Tender.</w:t>
      </w:r>
    </w:p>
    <w:p>
      <w:r>
        <w:br w:type="page"/>
      </w:r>
    </w:p>
    <w:p>
      <w:pPr>
        <w:spacing w:after="200" w:before="240"/>
      </w:pPr>
      <w:r>
        <w:rPr>
          <w:rFonts w:ascii="Arial" w:cs="Arial" w:eastAsia="Arial" w:hAnsi="Arial"/>
          <w:b/>
          <w:bCs/>
          <w:color w:val="1F3864"/>
          <w:sz w:val="32"/>
          <w:szCs w:val="32"/>
        </w:rPr>
        <w:t xml:space="preserve">Appendix 1 — Statement of Requirements</w:t>
      </w:r>
    </w:p>
    <w:p>
      <w:pPr>
        <w:keepNext/>
        <w:spacing w:after="100" w:before="160"/>
      </w:pPr>
      <w:r>
        <w:rPr>
          <w:rFonts w:ascii="Arial" w:cs="Arial" w:eastAsia="Arial" w:hAnsi="Arial"/>
          <w:b/>
          <w:bCs/>
          <w:color w:val="1F3864"/>
          <w:sz w:val="22"/>
          <w:szCs w:val="22"/>
        </w:rPr>
        <w:t xml:space="preserve">Background</w:t>
      </w:r>
    </w:p>
    <w:p>
      <w:pPr>
        <w:spacing w:after="120"/>
      </w:pPr>
      <w:r>
        <w:rPr>
          <w:rFonts w:ascii="Times New Roman" w:cs="Times New Roman" w:eastAsia="Times New Roman" w:hAnsi="Times New Roman"/>
          <w:sz w:val="22"/>
          <w:szCs w:val="22"/>
        </w:rPr>
        <w:t xml:space="preserve">The West Yorkshire Combined Authority's Adult Skills Plan 2026 sets out the region's investment priorities and approach to adult skills commissioning. The Plan encompasses first-step learning, technical and vocational programmes, and industry-designed training, supporting the region's economic growth ambitions through the devolution of adult skills funding.</w:t>
      </w:r>
    </w:p>
    <w:p>
      <w:pPr>
        <w:spacing w:after="120"/>
      </w:pPr>
      <w:r>
        <w:rPr>
          <w:rFonts w:ascii="Times New Roman" w:cs="Times New Roman" w:eastAsia="Times New Roman" w:hAnsi="Times New Roman"/>
          <w:sz w:val="22"/>
          <w:szCs w:val="22"/>
        </w:rPr>
        <w:t xml:space="preserve">Skills development remains critical to the future prosperity of West Yorkshire. The West Yorkshire Combined Authority's Local Growth Plan sets out ambitions for housing delivery, retrofit activity, mass transit infrastructure, and growth across priority sectors. A skilled construction workforce will be essential to delivering these ambitions, providing the capacity and capability required to support major infrastructure projects and meet current and future housing demand.</w:t>
      </w:r>
    </w:p>
    <w:p>
      <w:pPr>
        <w:spacing w:after="120"/>
      </w:pPr>
      <w:r>
        <w:rPr>
          <w:rFonts w:ascii="Times New Roman" w:cs="Times New Roman" w:eastAsia="Times New Roman" w:hAnsi="Times New Roman"/>
          <w:sz w:val="22"/>
          <w:szCs w:val="22"/>
        </w:rPr>
        <w:t xml:space="preserve">The Construction Skills Package (CSP) is a national initiative designed to increase construction skills capacity and support the growth of a skilled construction workforce. The programme aims to contribute to the delivery of an additional 60,000 skilled construction workers nationally. Through the Integrated Settlement, responsibility for CSP delivery has been devolved to the West Yorkshire Combined Authority, enabling the region to play a significant role in achieving shared national and regional ambitions to strengthen the construction skills pipeline.</w:t>
      </w:r>
    </w:p>
    <w:p>
      <w:pPr>
        <w:spacing w:after="120"/>
      </w:pPr>
      <w:r>
        <w:rPr>
          <w:rFonts w:ascii="Times New Roman" w:cs="Times New Roman" w:eastAsia="Times New Roman" w:hAnsi="Times New Roman"/>
          <w:sz w:val="22"/>
          <w:szCs w:val="22"/>
        </w:rPr>
        <w:t xml:space="preserve">The CSP introduces a sector-focused approach to skills delivery, with defined performance measures across key themes, including learner enrolments, achievement of Level 2 and Level 3 qualifications, and progression into employment. The programme places a strong emphasis on converting learner participation and achievement into sustained employment outcomes, thereby increasing the number of skilled construction workers available to meet labour market demand across West Yorkshire.</w:t>
      </w:r>
    </w:p>
    <w:p>
      <w:pPr>
        <w:spacing w:after="120"/>
      </w:pPr>
      <w:r>
        <w:rPr>
          <w:rFonts w:ascii="Times New Roman" w:cs="Times New Roman" w:eastAsia="Times New Roman" w:hAnsi="Times New Roman"/>
          <w:sz w:val="22"/>
          <w:szCs w:val="22"/>
        </w:rPr>
        <w:t xml:space="preserve">As set out within the Adult Skills Plan, the majority of adult skills funding will continue to be delivered through place-based anchor institutions and members of the FE Compact, including Leeds College of Building in its role as the Construction Technical Excellence College for Yorkshire and the Humber. However, the Combined Authority recognises that certain opportunities and learner cohorts may require innovative approaches that fall outside the scope of existing grant-funded provision.</w:t>
      </w:r>
    </w:p>
    <w:p>
      <w:pPr>
        <w:spacing w:after="120"/>
      </w:pPr>
      <w:r>
        <w:rPr>
          <w:rFonts w:ascii="Times New Roman" w:cs="Times New Roman" w:eastAsia="Times New Roman" w:hAnsi="Times New Roman"/>
          <w:sz w:val="22"/>
          <w:szCs w:val="22"/>
        </w:rPr>
        <w:t xml:space="preserve">This procurement opportunity has therefore been developed to complement existing college-led delivery by addressing identified gaps in provision and testing innovative approaches to skills development and employment support. The intention is to secure employer-focused delivery that can engage learners, respond flexibly to labour market demand, and support progression into employment within the construction sector.</w:t>
      </w:r>
    </w:p>
    <w:p>
      <w:pPr>
        <w:spacing w:after="120"/>
      </w:pPr>
      <w:r>
        <w:rPr>
          <w:rFonts w:ascii="Times New Roman" w:cs="Times New Roman" w:eastAsia="Times New Roman" w:hAnsi="Times New Roman"/>
          <w:sz w:val="22"/>
          <w:szCs w:val="22"/>
        </w:rPr>
        <w:t xml:space="preserve">Following the Construction Training and Employer Collaboration (CTEC) meeting held on 4 September 2026, the West Yorkshire Combined Authority set out its approach to subcontracted delivery through the additional construction funding available under the CSP. The Combined Authority's intention is that subcontracting should be used strategically to address genuine gaps in the existing college-led offer, adding value to current provision rather than duplicating activity already delivered through further education providers. This commissioning activity is therefore intended to secure innovative and targeted interventions at Level 2 and Level 3 that complement existing provision, address skills shortages within the construction sector, and contribute to the achievement of regional construction skills and employment outcomes.</w:t>
      </w:r>
    </w:p>
    <w:p>
      <w:pPr>
        <w:keepNext/>
        <w:spacing w:after="100" w:before="160"/>
      </w:pPr>
      <w:r>
        <w:rPr>
          <w:rFonts w:ascii="Arial" w:cs="Arial" w:eastAsia="Arial" w:hAnsi="Arial"/>
          <w:b/>
          <w:bCs/>
          <w:color w:val="1F3864"/>
          <w:sz w:val="22"/>
          <w:szCs w:val="22"/>
        </w:rPr>
        <w:t xml:space="preserve">Existing provision landscape</w:t>
      </w:r>
    </w:p>
    <w:p>
      <w:pPr>
        <w:spacing w:after="120"/>
      </w:pPr>
      <w:r>
        <w:rPr>
          <w:rFonts w:ascii="Times New Roman" w:cs="Times New Roman" w:eastAsia="Times New Roman" w:hAnsi="Times New Roman"/>
          <w:sz w:val="22"/>
          <w:szCs w:val="22"/>
        </w:rPr>
        <w:t xml:space="preserve">A range of grant-funded colleges across West Yorkshire already deliver construction-sector qualifications and Targeted Employment Programmes (TEPs) through the CSP.</w:t>
      </w:r>
    </w:p>
    <w:p>
      <w:pPr>
        <w:spacing w:after="120"/>
      </w:pPr>
      <w:r>
        <w:rPr>
          <w:rFonts w:ascii="Times New Roman" w:cs="Times New Roman" w:eastAsia="Times New Roman" w:hAnsi="Times New Roman"/>
          <w:sz w:val="22"/>
          <w:szCs w:val="22"/>
        </w:rPr>
        <w:t xml:space="preserve">Targeted Employment Programmes are designed to assist learners to learn new skills in an area of work where there are jobs. A TEP should provide West Yorkshire residents with the on-the-job and professional accreditations needed to enter work and link them directly to employers who have live job vacancies. TEPs are the West Yorkshire Combined Authority's version of DWP SWAPs (Sector-based Work Academy Programmes), expanding referral routes beyond Jobcentre Plus and allowing participants from various referral routes. As detailed in the WYCA Adult Skills Fund funding rules 2026/2027, Targeted Employment Programmes must:</w:t>
      </w:r>
    </w:p>
    <w:p>
      <w:pPr>
        <w:pStyle w:val="ListParagraph"/>
        <w:numPr>
          <w:ilvl w:val="0"/>
          <w:numId w:val="2"/>
        </w:numPr>
        <w:spacing w:after="80"/>
      </w:pPr>
      <w:r>
        <w:rPr>
          <w:rFonts w:ascii="Times New Roman" w:cs="Times New Roman" w:eastAsia="Times New Roman" w:hAnsi="Times New Roman"/>
          <w:sz w:val="22"/>
          <w:szCs w:val="22"/>
        </w:rPr>
        <w:t xml:space="preserve">Be co-created with employers and designed to move residents into employment</w:t>
      </w:r>
    </w:p>
    <w:p>
      <w:pPr>
        <w:pStyle w:val="ListParagraph"/>
        <w:numPr>
          <w:ilvl w:val="0"/>
          <w:numId w:val="2"/>
        </w:numPr>
        <w:spacing w:after="80"/>
      </w:pPr>
      <w:r>
        <w:rPr>
          <w:rFonts w:ascii="Times New Roman" w:cs="Times New Roman" w:eastAsia="Times New Roman" w:hAnsi="Times New Roman"/>
          <w:sz w:val="22"/>
          <w:szCs w:val="22"/>
        </w:rPr>
        <w:t xml:space="preserve">Have vacancies open for application at the end, appropriate for the number of individuals completing the training opportunity</w:t>
      </w:r>
    </w:p>
    <w:p>
      <w:pPr>
        <w:pStyle w:val="ListParagraph"/>
        <w:numPr>
          <w:ilvl w:val="0"/>
          <w:numId w:val="2"/>
        </w:numPr>
        <w:spacing w:after="80"/>
      </w:pPr>
      <w:r>
        <w:rPr>
          <w:rFonts w:ascii="Times New Roman" w:cs="Times New Roman" w:eastAsia="Times New Roman" w:hAnsi="Times New Roman"/>
          <w:sz w:val="22"/>
          <w:szCs w:val="22"/>
        </w:rPr>
        <w:t xml:space="preserve">Engage individuals who are unemployed or eligible for full funding under the earnings threshold</w:t>
      </w:r>
    </w:p>
    <w:p>
      <w:pPr>
        <w:pStyle w:val="ListParagraph"/>
        <w:numPr>
          <w:ilvl w:val="0"/>
          <w:numId w:val="2"/>
        </w:numPr>
        <w:spacing w:after="80"/>
      </w:pPr>
      <w:r>
        <w:rPr>
          <w:rFonts w:ascii="Times New Roman" w:cs="Times New Roman" w:eastAsia="Times New Roman" w:hAnsi="Times New Roman"/>
          <w:sz w:val="22"/>
          <w:szCs w:val="22"/>
        </w:rPr>
        <w:t xml:space="preserve">Support learners who have not been successful through this TEP to apply for similar roles with their newly acquired skills</w:t>
      </w:r>
    </w:p>
    <w:p>
      <w:pPr>
        <w:spacing w:after="120"/>
      </w:pPr>
      <w:r>
        <w:rPr>
          <w:rFonts w:ascii="Times New Roman" w:cs="Times New Roman" w:eastAsia="Times New Roman" w:hAnsi="Times New Roman"/>
          <w:sz w:val="22"/>
          <w:szCs w:val="22"/>
        </w:rPr>
        <w:t xml:space="preserve">TEP components:</w:t>
      </w:r>
    </w:p>
    <w:p>
      <w:pPr>
        <w:pStyle w:val="ListParagraph"/>
        <w:numPr>
          <w:ilvl w:val="0"/>
          <w:numId w:val="2"/>
        </w:numPr>
        <w:spacing w:after="80"/>
      </w:pPr>
      <w:r>
        <w:rPr>
          <w:rFonts w:ascii="Times New Roman" w:cs="Times New Roman" w:eastAsia="Times New Roman" w:hAnsi="Times New Roman"/>
          <w:sz w:val="22"/>
          <w:szCs w:val="22"/>
        </w:rPr>
        <w:t xml:space="preserve">Non-accredited or accredited qualifications tailored to construction needs</w:t>
      </w:r>
    </w:p>
    <w:p>
      <w:pPr>
        <w:pStyle w:val="ListParagraph"/>
        <w:numPr>
          <w:ilvl w:val="0"/>
          <w:numId w:val="2"/>
        </w:numPr>
        <w:spacing w:after="80"/>
      </w:pPr>
      <w:r>
        <w:rPr>
          <w:rFonts w:ascii="Times New Roman" w:cs="Times New Roman" w:eastAsia="Times New Roman" w:hAnsi="Times New Roman"/>
          <w:sz w:val="22"/>
          <w:szCs w:val="22"/>
        </w:rPr>
        <w:t xml:space="preserve">Essential skills, knowledge and behaviours tailored to construction needs</w:t>
      </w:r>
    </w:p>
    <w:p>
      <w:pPr>
        <w:pStyle w:val="ListParagraph"/>
        <w:numPr>
          <w:ilvl w:val="0"/>
          <w:numId w:val="2"/>
        </w:numPr>
        <w:spacing w:after="80"/>
      </w:pPr>
      <w:r>
        <w:rPr>
          <w:rFonts w:ascii="Times New Roman" w:cs="Times New Roman" w:eastAsia="Times New Roman" w:hAnsi="Times New Roman"/>
          <w:sz w:val="22"/>
          <w:szCs w:val="22"/>
        </w:rPr>
        <w:t xml:space="preserve">Personalised ‘support into work’ such as mock interviews, personal statements, construction-specific CVs and application process</w:t>
      </w:r>
    </w:p>
    <w:p>
      <w:pPr>
        <w:pStyle w:val="ListParagraph"/>
        <w:numPr>
          <w:ilvl w:val="0"/>
          <w:numId w:val="2"/>
        </w:numPr>
        <w:spacing w:after="80"/>
      </w:pPr>
      <w:r>
        <w:rPr>
          <w:rFonts w:ascii="Times New Roman" w:cs="Times New Roman" w:eastAsia="Times New Roman" w:hAnsi="Times New Roman"/>
          <w:sz w:val="22"/>
          <w:szCs w:val="22"/>
        </w:rPr>
        <w:t xml:space="preserve">Guaranteed job interviews — an interview with an employer who has current or forthcoming job vacancies relevant to the programme</w:t>
      </w:r>
    </w:p>
    <w:p>
      <w:pPr>
        <w:spacing w:after="120"/>
      </w:pPr>
      <w:r>
        <w:rPr>
          <w:rFonts w:ascii="Times New Roman" w:cs="Times New Roman" w:eastAsia="Times New Roman" w:hAnsi="Times New Roman"/>
          <w:sz w:val="22"/>
          <w:szCs w:val="22"/>
        </w:rPr>
        <w:t xml:space="preserve">The current construction offer across West Yorkshire colleges provides a broad range of training opportunities from entry level through to advanced technical and supervisory qualifications. Provision includes vocational and accredited programmes in key construction trades such as site carpentry, bricklaying, plastering, plumbing and heating, electrical installation, painting and decorating, roofing, construction operations and civil engineering. The offer also includes employability and pre-apprenticeship programmes designed to support progression into construction careers and apprenticeships.</w:t>
      </w:r>
    </w:p>
    <w:p>
      <w:pPr>
        <w:spacing w:after="120"/>
      </w:pPr>
      <w:r>
        <w:rPr>
          <w:rFonts w:ascii="Times New Roman" w:cs="Times New Roman" w:eastAsia="Times New Roman" w:hAnsi="Times New Roman"/>
          <w:sz w:val="22"/>
          <w:szCs w:val="22"/>
        </w:rPr>
        <w:t xml:space="preserve">Alongside core trade qualifications, colleges are delivering industry-recognised accreditation and short courses, including CSCS card preparation, asbestos awareness, streetworks accreditation, water regulations, unvented hot water systems and CITB site supervision and site management training. The offer also reflects emerging sector priorities through specialist provision in low-carbon construction, including air source heat pump systems, external wall insulation and low-carbon heating technologies, as well as scaffolding programmes. Higher-level construction management and occupational supervision qualifications are also available, supporting career progression for those already working in the industry.</w:t>
      </w:r>
    </w:p>
    <w:p>
      <w:pPr>
        <w:spacing w:after="120"/>
      </w:pPr>
      <w:r>
        <w:rPr>
          <w:rFonts w:ascii="Times New Roman" w:cs="Times New Roman" w:eastAsia="Times New Roman" w:hAnsi="Times New Roman"/>
          <w:sz w:val="22"/>
          <w:szCs w:val="22"/>
        </w:rPr>
        <w:t xml:space="preserve">Any subcontracted delivery under this opportunity must complement this existing college-led offer, not compete with or duplicate it. The College does not wish to exclude provision in subject areas where colleges already deliver, but anything additional that is proposed should be bespoke and targeted at priority groups, rather than repeating the general offer already available. A summary of existing grant-funded provision by sector, and the underlying qualification detail, are set out in Appendix 6; Candidates should read these as the baseline their proposal needs to sit alongside.</w:t>
      </w:r>
    </w:p>
    <w:p>
      <w:pPr>
        <w:spacing w:after="120" w:before="120"/>
      </w:pPr>
      <w:r>
        <w:rPr>
          <w:rFonts w:ascii="Times New Roman" w:cs="Times New Roman" w:eastAsia="Times New Roman" w:hAnsi="Times New Roman"/>
          <w:b/>
          <w:bCs/>
          <w:sz w:val="22"/>
          <w:szCs w:val="22"/>
        </w:rPr>
        <w:t xml:space="preserve">Areas a subcontracted offer is more likely to complement rather than duplicate:</w:t>
      </w:r>
    </w:p>
    <w:p>
      <w:pPr>
        <w:pStyle w:val="ListParagraph"/>
        <w:numPr>
          <w:ilvl w:val="0"/>
          <w:numId w:val="2"/>
        </w:numPr>
        <w:spacing w:after="80"/>
      </w:pPr>
      <w:r>
        <w:rPr>
          <w:rFonts w:ascii="Times New Roman" w:cs="Times New Roman" w:eastAsia="Times New Roman" w:hAnsi="Times New Roman"/>
          <w:sz w:val="22"/>
          <w:szCs w:val="22"/>
        </w:rPr>
        <w:t xml:space="preserve">Green/retrofit provision (External Wall Insulation, scaffolding, low-carbon heating, Air Source Heat Pumps) currently sits at low volume relative to WYCA's regional retrofit ambition.</w:t>
      </w:r>
    </w:p>
    <w:p>
      <w:pPr>
        <w:pStyle w:val="ListParagraph"/>
        <w:numPr>
          <w:ilvl w:val="0"/>
          <w:numId w:val="2"/>
        </w:numPr>
        <w:spacing w:after="80"/>
      </w:pPr>
      <w:r>
        <w:rPr>
          <w:rFonts w:ascii="Times New Roman" w:cs="Times New Roman" w:eastAsia="Times New Roman" w:hAnsi="Times New Roman"/>
          <w:sz w:val="22"/>
          <w:szCs w:val="22"/>
        </w:rPr>
        <w:t xml:space="preserve">Level 3 electrical qualifications do not currently feature in the existing offer.</w:t>
      </w:r>
    </w:p>
    <w:p>
      <w:pPr>
        <w:pStyle w:val="ListParagraph"/>
        <w:numPr>
          <w:ilvl w:val="0"/>
          <w:numId w:val="2"/>
        </w:numPr>
        <w:spacing w:after="80"/>
      </w:pPr>
      <w:r>
        <w:rPr>
          <w:rFonts w:ascii="Times New Roman" w:cs="Times New Roman" w:eastAsia="Times New Roman" w:hAnsi="Times New Roman"/>
          <w:sz w:val="22"/>
          <w:szCs w:val="22"/>
        </w:rPr>
        <w:t xml:space="preserve">Roofing provision is thin across the existing offer.</w:t>
      </w:r>
    </w:p>
    <w:p>
      <w:pPr>
        <w:pStyle w:val="ListParagraph"/>
        <w:numPr>
          <w:ilvl w:val="0"/>
          <w:numId w:val="2"/>
        </w:numPr>
        <w:spacing w:after="80"/>
      </w:pPr>
      <w:r>
        <w:rPr>
          <w:rFonts w:ascii="Times New Roman" w:cs="Times New Roman" w:eastAsia="Times New Roman" w:hAnsi="Times New Roman"/>
          <w:sz w:val="22"/>
          <w:szCs w:val="22"/>
        </w:rPr>
        <w:t xml:space="preserve">Plumbing/heating and CSCS provision is already delivered at volume and is not a priority area for subcontracting.</w:t>
      </w:r>
    </w:p>
    <w:p>
      <w:pPr>
        <w:pStyle w:val="ListParagraph"/>
        <w:numPr>
          <w:ilvl w:val="0"/>
          <w:numId w:val="2"/>
        </w:numPr>
        <w:spacing w:after="80"/>
      </w:pPr>
      <w:r>
        <w:rPr>
          <w:rFonts w:ascii="Times New Roman" w:cs="Times New Roman" w:eastAsia="Times New Roman" w:hAnsi="Times New Roman"/>
          <w:sz w:val="22"/>
          <w:szCs w:val="22"/>
        </w:rPr>
        <w:t xml:space="preserve">An accessible offer available across West Yorkshire, with a geographical spread across the region.</w:t>
      </w:r>
    </w:p>
    <w:p>
      <w:pPr>
        <w:pStyle w:val="ListParagraph"/>
        <w:numPr>
          <w:ilvl w:val="0"/>
          <w:numId w:val="2"/>
        </w:numPr>
        <w:spacing w:after="80"/>
      </w:pPr>
      <w:r>
        <w:rPr>
          <w:rFonts w:ascii="Times New Roman" w:cs="Times New Roman" w:eastAsia="Times New Roman" w:hAnsi="Times New Roman"/>
          <w:sz w:val="22"/>
          <w:szCs w:val="22"/>
        </w:rPr>
        <w:t xml:space="preserve">The delivery of bespoke and targeted provision not currently delivered by FE colleges, with niche provision offered to address a specific problem.</w:t>
      </w:r>
    </w:p>
    <w:p>
      <w:pPr>
        <w:pStyle w:val="ListParagraph"/>
        <w:numPr>
          <w:ilvl w:val="0"/>
          <w:numId w:val="2"/>
        </w:numPr>
        <w:spacing w:after="80"/>
      </w:pPr>
      <w:r>
        <w:rPr>
          <w:rFonts w:ascii="Times New Roman" w:cs="Times New Roman" w:eastAsia="Times New Roman" w:hAnsi="Times New Roman"/>
          <w:sz w:val="22"/>
          <w:szCs w:val="22"/>
        </w:rPr>
        <w:t xml:space="preserve">Any non-accredited/bespoke aims that are proposed must be delivered as a Targeted Employment Programme, with a KPI of 50% into employment.</w:t>
      </w:r>
    </w:p>
    <w:p>
      <w:pPr>
        <w:keepNext/>
        <w:spacing w:after="100" w:before="160"/>
      </w:pPr>
      <w:r>
        <w:rPr>
          <w:rFonts w:ascii="Arial" w:cs="Arial" w:eastAsia="Arial" w:hAnsi="Arial"/>
          <w:b/>
          <w:bCs/>
          <w:color w:val="1F3864"/>
          <w:sz w:val="22"/>
          <w:szCs w:val="22"/>
        </w:rPr>
        <w:t xml:space="preserve">Scope of the opportunity</w:t>
      </w:r>
    </w:p>
    <w:p>
      <w:pPr>
        <w:spacing w:after="120"/>
      </w:pPr>
      <w:r>
        <w:rPr>
          <w:rFonts w:ascii="Times New Roman" w:cs="Times New Roman" w:eastAsia="Times New Roman" w:hAnsi="Times New Roman"/>
          <w:sz w:val="22"/>
          <w:szCs w:val="22"/>
        </w:rPr>
        <w:t xml:space="preserve">Leeds College of Building is seeking one or more delivery subcontractors (“Providers”) to deliver construction-sector qualifications and/or bespoke-aim Targeted Employment Programmes (TEPs), funded through the additional CSP construction funding, in specialisms not already well served by the existing offer above.</w:t>
      </w:r>
    </w:p>
    <w:p>
      <w:pPr>
        <w:pStyle w:val="ListParagraph"/>
        <w:numPr>
          <w:ilvl w:val="0"/>
          <w:numId w:val="2"/>
        </w:numPr>
        <w:spacing w:after="80"/>
      </w:pPr>
      <w:r>
        <w:rPr>
          <w:rFonts w:ascii="Times New Roman" w:cs="Times New Roman" w:eastAsia="Times New Roman" w:hAnsi="Times New Roman"/>
          <w:sz w:val="22"/>
          <w:szCs w:val="22"/>
        </w:rPr>
        <w:t xml:space="preserve">Qualifications and/or bespoke-aim TEPs in construction-sector subjects, in specialisms not already well served by the existing offer</w:t>
      </w:r>
    </w:p>
    <w:p>
      <w:pPr>
        <w:pStyle w:val="ListParagraph"/>
        <w:numPr>
          <w:ilvl w:val="0"/>
          <w:numId w:val="2"/>
        </w:numPr>
        <w:spacing w:after="80"/>
      </w:pPr>
      <w:r>
        <w:rPr>
          <w:rFonts w:ascii="Times New Roman" w:cs="Times New Roman" w:eastAsia="Times New Roman" w:hAnsi="Times New Roman"/>
          <w:sz w:val="22"/>
          <w:szCs w:val="22"/>
        </w:rPr>
        <w:t xml:space="preserve">Delivery at the Provider's own location(s), with workplace learning as an additional delivery mode where appropriate</w:t>
      </w:r>
    </w:p>
    <w:p>
      <w:pPr>
        <w:pStyle w:val="ListParagraph"/>
        <w:numPr>
          <w:ilvl w:val="0"/>
          <w:numId w:val="2"/>
        </w:numPr>
        <w:spacing w:after="80"/>
      </w:pPr>
      <w:r>
        <w:rPr>
          <w:rFonts w:ascii="Times New Roman" w:cs="Times New Roman" w:eastAsia="Times New Roman" w:hAnsi="Times New Roman"/>
          <w:sz w:val="22"/>
          <w:szCs w:val="22"/>
        </w:rPr>
        <w:t xml:space="preserve">A defined target cohort of priority learners (see below)</w:t>
      </w:r>
    </w:p>
    <w:p>
      <w:pPr>
        <w:pStyle w:val="ListParagraph"/>
        <w:numPr>
          <w:ilvl w:val="0"/>
          <w:numId w:val="2"/>
        </w:numPr>
        <w:spacing w:after="80"/>
      </w:pPr>
      <w:r>
        <w:rPr>
          <w:rFonts w:ascii="Times New Roman" w:cs="Times New Roman" w:eastAsia="Times New Roman" w:hAnsi="Times New Roman"/>
          <w:sz w:val="22"/>
          <w:szCs w:val="22"/>
        </w:rPr>
        <w:t xml:space="preserve">Clear, evidenced progression routes into employment or self-employment</w:t>
      </w:r>
    </w:p>
    <w:p>
      <w:pPr>
        <w:spacing w:after="120" w:before="120"/>
      </w:pPr>
      <w:r>
        <w:rPr>
          <w:rFonts w:ascii="Times New Roman" w:cs="Times New Roman" w:eastAsia="Times New Roman" w:hAnsi="Times New Roman"/>
          <w:b/>
          <w:bCs/>
          <w:sz w:val="22"/>
          <w:szCs w:val="22"/>
        </w:rPr>
        <w:t xml:space="preserve">Level requirement: the CSP is a Level 2+ programme. All subcontracted provision must be proposed at Level 2 or Level 3 (WYCA expects much of it to be at Level 2 rather than Level 3). Level 1 provision does not count towards CSP targets and metrics and will not be funded under this opportunity.</w:t>
      </w:r>
    </w:p>
    <w:p>
      <w:pPr>
        <w:spacing w:after="120" w:before="120"/>
      </w:pPr>
      <w:r>
        <w:rPr>
          <w:rFonts w:ascii="Times New Roman" w:cs="Times New Roman" w:eastAsia="Times New Roman" w:hAnsi="Times New Roman"/>
          <w:b/>
          <w:bCs/>
          <w:sz w:val="22"/>
          <w:szCs w:val="22"/>
        </w:rPr>
        <w:t xml:space="preserve">Value: a total of £351,670 is available for subcontracted delivery under this opportunity, which the College expects to award to up to four Providers. If the funding is shared equally between four Providers, the minimum value available to each is £87,917.50 (£351,670 ÷ 4); a single Provider could be awarded up to the full £351,670. Final award values will depend on the quality and additionality of Tenders and on WYCA's approval.</w:t>
      </w:r>
    </w:p>
    <w:p>
      <w:pPr>
        <w:spacing w:after="120" w:before="120"/>
      </w:pPr>
      <w:r>
        <w:rPr>
          <w:rFonts w:ascii="Times New Roman" w:cs="Times New Roman" w:eastAsia="Times New Roman" w:hAnsi="Times New Roman"/>
          <w:b/>
          <w:bCs/>
          <w:sz w:val="22"/>
          <w:szCs w:val="22"/>
        </w:rPr>
        <w:t xml:space="preserve">Contract term: delivery will go live in January 2027. The Initial Term ends on 31 July 2027, with the opportunity for the College to extend for further Extension Periods (up to twelve months each) depending on performance and the availability of funding. See Part 1, clause 2.</w:t>
      </w:r>
    </w:p>
    <w:p>
      <w:pPr>
        <w:spacing w:after="120" w:before="120"/>
      </w:pPr>
      <w:r>
        <w:rPr>
          <w:rFonts w:ascii="Times New Roman" w:cs="Times New Roman" w:eastAsia="Times New Roman" w:hAnsi="Times New Roman"/>
          <w:b/>
          <w:bCs/>
          <w:sz w:val="22"/>
          <w:szCs w:val="22"/>
        </w:rPr>
        <w:t xml:space="preserve">Mobilisation: Providers must be able to demonstrate that they can mobilise and commence delivery in time for a January 2027 go-live. Evidence of readiness (staffing, premises, awarding-body approvals and an existing learner pipeline) is assessed in Question Q1 and in the Delivery Plan.</w:t>
      </w:r>
    </w:p>
    <w:p>
      <w:pPr>
        <w:keepNext/>
        <w:spacing w:after="100" w:before="160"/>
      </w:pPr>
      <w:r>
        <w:rPr>
          <w:rFonts w:ascii="Arial" w:cs="Arial" w:eastAsia="Arial" w:hAnsi="Arial"/>
          <w:b/>
          <w:bCs/>
          <w:color w:val="1F3864"/>
          <w:sz w:val="22"/>
          <w:szCs w:val="22"/>
        </w:rPr>
        <w:t xml:space="preserve">Priority learners &amp; eligibility</w:t>
      </w:r>
    </w:p>
    <w:p>
      <w:pPr>
        <w:spacing w:after="120"/>
      </w:pPr>
      <w:r>
        <w:rPr>
          <w:rFonts w:ascii="Times New Roman" w:cs="Times New Roman" w:eastAsia="Times New Roman" w:hAnsi="Times New Roman"/>
          <w:sz w:val="22"/>
          <w:szCs w:val="22"/>
        </w:rPr>
        <w:t xml:space="preserve">In line with the aims of the CSP funding and the wider Adult Skills Plan, subcontracted provision must prioritise:</w:t>
      </w:r>
    </w:p>
    <w:p>
      <w:pPr>
        <w:pStyle w:val="ListParagraph"/>
        <w:numPr>
          <w:ilvl w:val="0"/>
          <w:numId w:val="2"/>
        </w:numPr>
        <w:spacing w:after="80"/>
      </w:pPr>
      <w:r>
        <w:rPr>
          <w:rFonts w:ascii="Times New Roman" w:cs="Times New Roman" w:eastAsia="Times New Roman" w:hAnsi="Times New Roman"/>
          <w:sz w:val="22"/>
          <w:szCs w:val="22"/>
        </w:rPr>
        <w:t xml:space="preserve">Priority learners — those without a full Level 2 qualification, who are unemployed, or who are on a low wage</w:t>
      </w:r>
    </w:p>
    <w:p>
      <w:pPr>
        <w:pStyle w:val="ListParagraph"/>
        <w:numPr>
          <w:ilvl w:val="0"/>
          <w:numId w:val="2"/>
        </w:numPr>
        <w:spacing w:after="80"/>
      </w:pPr>
      <w:r>
        <w:rPr>
          <w:rFonts w:ascii="Times New Roman" w:cs="Times New Roman" w:eastAsia="Times New Roman" w:hAnsi="Times New Roman"/>
          <w:sz w:val="22"/>
          <w:szCs w:val="22"/>
        </w:rPr>
        <w:t xml:space="preserve">Individuals Not in Education, Employment or Training (NEETs)</w:t>
      </w:r>
    </w:p>
    <w:p>
      <w:pPr>
        <w:pStyle w:val="ListParagraph"/>
        <w:numPr>
          <w:ilvl w:val="0"/>
          <w:numId w:val="2"/>
        </w:numPr>
        <w:spacing w:after="80"/>
      </w:pPr>
      <w:r>
        <w:rPr>
          <w:rFonts w:ascii="Times New Roman" w:cs="Times New Roman" w:eastAsia="Times New Roman" w:hAnsi="Times New Roman"/>
          <w:sz w:val="22"/>
          <w:szCs w:val="22"/>
        </w:rPr>
        <w:t xml:space="preserve">Individuals underrepresented in the construction sector, e.g. women and ethnic minorities</w:t>
      </w:r>
    </w:p>
    <w:p>
      <w:pPr>
        <w:pStyle w:val="ListParagraph"/>
        <w:numPr>
          <w:ilvl w:val="0"/>
          <w:numId w:val="2"/>
        </w:numPr>
        <w:spacing w:after="80"/>
      </w:pPr>
      <w:r>
        <w:rPr>
          <w:rFonts w:ascii="Times New Roman" w:cs="Times New Roman" w:eastAsia="Times New Roman" w:hAnsi="Times New Roman"/>
          <w:sz w:val="22"/>
          <w:szCs w:val="22"/>
        </w:rPr>
        <w:t xml:space="preserve">Clear progression pathways — demonstrable links with employers who have live vacancies, or clear routes into self-employment</w:t>
      </w:r>
    </w:p>
    <w:p>
      <w:pPr>
        <w:pStyle w:val="ListParagraph"/>
        <w:numPr>
          <w:ilvl w:val="0"/>
          <w:numId w:val="2"/>
        </w:numPr>
        <w:spacing w:after="80"/>
      </w:pPr>
      <w:r>
        <w:rPr>
          <w:rFonts w:ascii="Times New Roman" w:cs="Times New Roman" w:eastAsia="Times New Roman" w:hAnsi="Times New Roman"/>
          <w:sz w:val="22"/>
          <w:szCs w:val="22"/>
        </w:rPr>
        <w:t xml:space="preserve">Ambitious progression outcomes into work — at least 50% of learners on a TEP progressing into work</w:t>
      </w:r>
    </w:p>
    <w:p>
      <w:pPr>
        <w:spacing w:after="120"/>
      </w:pPr>
      <w:r>
        <w:rPr>
          <w:rFonts w:ascii="Times New Roman" w:cs="Times New Roman" w:eastAsia="Times New Roman" w:hAnsi="Times New Roman"/>
          <w:sz w:val="22"/>
          <w:szCs w:val="22"/>
        </w:rPr>
        <w:t xml:space="preserve">Learners must reside in West Yorkshire.</w:t>
      </w:r>
    </w:p>
    <w:p>
      <w:pPr>
        <w:spacing w:after="120"/>
      </w:pPr>
      <w:r>
        <w:rPr>
          <w:rFonts w:ascii="Times New Roman" w:cs="Times New Roman" w:eastAsia="Times New Roman" w:hAnsi="Times New Roman"/>
          <w:sz w:val="22"/>
          <w:szCs w:val="22"/>
        </w:rPr>
        <w:t xml:space="preserve">Because Level 1 provision does not count towards CSP targets, Candidates must propose Level 2 or Level 3 provision only, and should explain how learners can progress from Level 1 pathways onto what they propose to deliver (see Part 2 and Appendix 3, Question Q3).</w:t>
      </w:r>
    </w:p>
    <w:p>
      <w:pPr>
        <w:spacing w:after="120"/>
      </w:pPr>
      <w:r>
        <w:rPr>
          <w:rFonts w:ascii="Times New Roman" w:cs="Times New Roman" w:eastAsia="Times New Roman" w:hAnsi="Times New Roman"/>
          <w:sz w:val="22"/>
          <w:szCs w:val="22"/>
        </w:rPr>
        <w:t xml:space="preserve">Providers must also meet WYCA's standard ASF residency and eligibility rules for any learner claimed against WYCA funding.</w:t>
      </w:r>
    </w:p>
    <w:p>
      <w:pPr>
        <w:keepNext/>
        <w:spacing w:after="100" w:before="160"/>
      </w:pPr>
      <w:r>
        <w:rPr>
          <w:rFonts w:ascii="Arial" w:cs="Arial" w:eastAsia="Arial" w:hAnsi="Arial"/>
          <w:b/>
          <w:bCs/>
          <w:color w:val="1F3864"/>
          <w:sz w:val="22"/>
          <w:szCs w:val="22"/>
        </w:rPr>
        <w:t xml:space="preserve">Delivery &amp; outcome requirements</w:t>
      </w:r>
    </w:p>
    <w:p>
      <w:pPr>
        <w:spacing w:after="120" w:before="120"/>
      </w:pPr>
      <w:r>
        <w:rPr>
          <w:rFonts w:ascii="Times New Roman" w:cs="Times New Roman" w:eastAsia="Times New Roman" w:hAnsi="Times New Roman"/>
          <w:b/>
          <w:bCs/>
          <w:sz w:val="22"/>
          <w:szCs w:val="22"/>
        </w:rPr>
        <w:t xml:space="preserve">Delivery:</w:t>
      </w:r>
    </w:p>
    <w:p>
      <w:pPr>
        <w:pStyle w:val="ListParagraph"/>
        <w:numPr>
          <w:ilvl w:val="0"/>
          <w:numId w:val="2"/>
        </w:numPr>
        <w:spacing w:after="80"/>
      </w:pPr>
      <w:r>
        <w:rPr>
          <w:rFonts w:ascii="Times New Roman" w:cs="Times New Roman" w:eastAsia="Times New Roman" w:hAnsi="Times New Roman"/>
          <w:sz w:val="22"/>
          <w:szCs w:val="22"/>
        </w:rPr>
        <w:t xml:space="preserve">Provision delivered at the Provider's own premises, or in the workplace where this supports the progression aim</w:t>
      </w:r>
    </w:p>
    <w:p>
      <w:pPr>
        <w:pStyle w:val="ListParagraph"/>
        <w:numPr>
          <w:ilvl w:val="0"/>
          <w:numId w:val="2"/>
        </w:numPr>
        <w:spacing w:after="80"/>
      </w:pPr>
      <w:r>
        <w:rPr>
          <w:rFonts w:ascii="Times New Roman" w:cs="Times New Roman" w:eastAsia="Times New Roman" w:hAnsi="Times New Roman"/>
          <w:sz w:val="22"/>
          <w:szCs w:val="22"/>
        </w:rPr>
        <w:t xml:space="preserve">A curriculum offer that is genuinely additional to existing college-led CSP delivery</w:t>
      </w:r>
    </w:p>
    <w:p>
      <w:pPr>
        <w:pStyle w:val="ListParagraph"/>
        <w:numPr>
          <w:ilvl w:val="0"/>
          <w:numId w:val="2"/>
        </w:numPr>
        <w:spacing w:after="80"/>
      </w:pPr>
      <w:r>
        <w:rPr>
          <w:rFonts w:ascii="Times New Roman" w:cs="Times New Roman" w:eastAsia="Times New Roman" w:hAnsi="Times New Roman"/>
          <w:sz w:val="22"/>
          <w:szCs w:val="22"/>
        </w:rPr>
        <w:t xml:space="preserve">Evidenced, named employer relationships supporting the progression pathway</w:t>
      </w:r>
    </w:p>
    <w:p>
      <w:pPr>
        <w:pStyle w:val="ListParagraph"/>
        <w:numPr>
          <w:ilvl w:val="0"/>
          <w:numId w:val="2"/>
        </w:numPr>
        <w:spacing w:after="80"/>
      </w:pPr>
      <w:r>
        <w:rPr>
          <w:rFonts w:ascii="Times New Roman" w:cs="Times New Roman" w:eastAsia="Times New Roman" w:hAnsi="Times New Roman"/>
          <w:sz w:val="22"/>
          <w:szCs w:val="22"/>
        </w:rPr>
        <w:t xml:space="preserve">Provision at Level 2 or Level 3 only, with a described route in from Level 1 pathways</w:t>
      </w:r>
    </w:p>
    <w:p>
      <w:pPr>
        <w:pStyle w:val="ListParagraph"/>
        <w:numPr>
          <w:ilvl w:val="0"/>
          <w:numId w:val="2"/>
        </w:numPr>
        <w:spacing w:after="80"/>
      </w:pPr>
      <w:r>
        <w:rPr>
          <w:rFonts w:ascii="Times New Roman" w:cs="Times New Roman" w:eastAsia="Times New Roman" w:hAnsi="Times New Roman"/>
          <w:sz w:val="22"/>
          <w:szCs w:val="22"/>
        </w:rPr>
        <w:t xml:space="preserve">Evidenced ability to mobilise and begin delivery by the January 2027 go-live</w:t>
      </w:r>
    </w:p>
    <w:p>
      <w:pPr>
        <w:spacing w:after="120" w:before="120"/>
      </w:pPr>
      <w:r>
        <w:rPr>
          <w:rFonts w:ascii="Times New Roman" w:cs="Times New Roman" w:eastAsia="Times New Roman" w:hAnsi="Times New Roman"/>
          <w:b/>
          <w:bCs/>
          <w:sz w:val="22"/>
          <w:szCs w:val="22"/>
        </w:rPr>
        <w:t xml:space="preserve">Outcomes:</w:t>
      </w:r>
    </w:p>
    <w:p>
      <w:pPr>
        <w:pStyle w:val="ListParagraph"/>
        <w:numPr>
          <w:ilvl w:val="0"/>
          <w:numId w:val="2"/>
        </w:numPr>
        <w:spacing w:after="80"/>
      </w:pPr>
      <w:r>
        <w:rPr>
          <w:rFonts w:ascii="Times New Roman" w:cs="Times New Roman" w:eastAsia="Times New Roman" w:hAnsi="Times New Roman"/>
          <w:sz w:val="22"/>
          <w:szCs w:val="22"/>
        </w:rPr>
        <w:t xml:space="preserve">At least 50% of TEP learners achieving a progression outcome into work, consistent with WYCA's wider CSP/TEP progression standard</w:t>
      </w:r>
    </w:p>
    <w:p>
      <w:pPr>
        <w:pStyle w:val="ListParagraph"/>
        <w:numPr>
          <w:ilvl w:val="0"/>
          <w:numId w:val="2"/>
        </w:numPr>
        <w:spacing w:after="80"/>
      </w:pPr>
      <w:r>
        <w:rPr>
          <w:rFonts w:ascii="Times New Roman" w:cs="Times New Roman" w:eastAsia="Times New Roman" w:hAnsi="Times New Roman"/>
          <w:sz w:val="22"/>
          <w:szCs w:val="22"/>
        </w:rPr>
        <w:t xml:space="preserve">Progression tracked and reported to the College on the same cycle the College reports to WYCA</w:t>
      </w:r>
    </w:p>
    <w:p>
      <w:pPr>
        <w:pStyle w:val="ListParagraph"/>
        <w:numPr>
          <w:ilvl w:val="0"/>
          <w:numId w:val="2"/>
        </w:numPr>
        <w:spacing w:after="80"/>
      </w:pPr>
      <w:r>
        <w:rPr>
          <w:rFonts w:ascii="Times New Roman" w:cs="Times New Roman" w:eastAsia="Times New Roman" w:hAnsi="Times New Roman"/>
          <w:sz w:val="22"/>
          <w:szCs w:val="22"/>
        </w:rPr>
        <w:t xml:space="preserve">All delivery, evidence-pack and ILR requirements applied to the Provider exactly as they apply to the College's own delivery</w:t>
      </w:r>
    </w:p>
    <w:p>
      <w:r>
        <w:br w:type="page"/>
      </w:r>
    </w:p>
    <w:p>
      <w:pPr>
        <w:spacing w:after="200" w:before="240"/>
      </w:pPr>
      <w:r>
        <w:rPr>
          <w:rFonts w:ascii="Arial" w:cs="Arial" w:eastAsia="Arial" w:hAnsi="Arial"/>
          <w:b/>
          <w:bCs/>
          <w:color w:val="1F3864"/>
          <w:sz w:val="32"/>
          <w:szCs w:val="32"/>
        </w:rPr>
        <w:t xml:space="preserve">Appendix 2 — Selection Questionnaire</w:t>
      </w:r>
    </w:p>
    <w:p>
      <w:pPr>
        <w:spacing w:after="120"/>
      </w:pPr>
      <w:r>
        <w:rPr>
          <w:rFonts w:ascii="Times New Roman" w:cs="Times New Roman" w:eastAsia="Times New Roman" w:hAnsi="Times New Roman"/>
          <w:sz w:val="22"/>
          <w:szCs w:val="22"/>
        </w:rPr>
        <w:t xml:space="preserve">Candidates must complete the Selection Questionnaire and submit it by email as set out in Part 1, with supporting documents attached where indicated. The Selection Questionnaire is assessed on a pass/fail basis and is not scored. It covers the following sections:</w:t>
      </w:r>
    </w:p>
    <w:p>
      <w:pPr>
        <w:keepNext/>
        <w:spacing w:after="100" w:before="160"/>
      </w:pPr>
      <w:r>
        <w:rPr>
          <w:rFonts w:ascii="Arial" w:cs="Arial" w:eastAsia="Arial" w:hAnsi="Arial"/>
          <w:b/>
          <w:bCs/>
          <w:color w:val="1F3864"/>
          <w:sz w:val="22"/>
          <w:szCs w:val="22"/>
        </w:rPr>
        <w:t xml:space="preserve">Section 1 — Potential Provider information and exclusion grounds</w:t>
      </w:r>
    </w:p>
    <w:p>
      <w:pPr>
        <w:pStyle w:val="ListParagraph"/>
        <w:numPr>
          <w:ilvl w:val="0"/>
          <w:numId w:val="2"/>
        </w:numPr>
        <w:spacing w:after="80"/>
      </w:pPr>
      <w:r>
        <w:rPr>
          <w:rFonts w:ascii="Times New Roman" w:cs="Times New Roman" w:eastAsia="Times New Roman" w:hAnsi="Times New Roman"/>
          <w:sz w:val="22"/>
          <w:szCs w:val="22"/>
        </w:rPr>
        <w:t xml:space="preserve">Organisation details, structure and ownership</w:t>
      </w:r>
    </w:p>
    <w:p>
      <w:pPr>
        <w:pStyle w:val="ListParagraph"/>
        <w:numPr>
          <w:ilvl w:val="0"/>
          <w:numId w:val="2"/>
        </w:numPr>
        <w:spacing w:after="80"/>
      </w:pPr>
      <w:r>
        <w:rPr>
          <w:rFonts w:ascii="Times New Roman" w:cs="Times New Roman" w:eastAsia="Times New Roman" w:hAnsi="Times New Roman"/>
          <w:sz w:val="22"/>
          <w:szCs w:val="22"/>
        </w:rPr>
        <w:t xml:space="preserve">UKPRN</w:t>
      </w:r>
    </w:p>
    <w:p>
      <w:pPr>
        <w:pStyle w:val="ListParagraph"/>
        <w:numPr>
          <w:ilvl w:val="0"/>
          <w:numId w:val="2"/>
        </w:numPr>
        <w:spacing w:after="80"/>
      </w:pPr>
      <w:r>
        <w:rPr>
          <w:rFonts w:ascii="Times New Roman" w:cs="Times New Roman" w:eastAsia="Times New Roman" w:hAnsi="Times New Roman"/>
          <w:sz w:val="22"/>
          <w:szCs w:val="22"/>
        </w:rPr>
        <w:t xml:space="preserve">Mandatory and discretionary exclusion grounds (as set out in the Procurement Act 2023)</w:t>
      </w:r>
    </w:p>
    <w:p>
      <w:pPr>
        <w:pStyle w:val="ListParagraph"/>
        <w:numPr>
          <w:ilvl w:val="0"/>
          <w:numId w:val="2"/>
        </w:numPr>
        <w:spacing w:after="80"/>
      </w:pPr>
      <w:r>
        <w:rPr>
          <w:rFonts w:ascii="Times New Roman" w:cs="Times New Roman" w:eastAsia="Times New Roman" w:hAnsi="Times New Roman"/>
          <w:sz w:val="22"/>
          <w:szCs w:val="22"/>
        </w:rPr>
        <w:t xml:space="preserve">Self-cleaning evidence, where applicable</w:t>
      </w:r>
    </w:p>
    <w:p>
      <w:pPr>
        <w:keepNext/>
        <w:spacing w:after="100" w:before="160"/>
      </w:pPr>
      <w:r>
        <w:rPr>
          <w:rFonts w:ascii="Arial" w:cs="Arial" w:eastAsia="Arial" w:hAnsi="Arial"/>
          <w:b/>
          <w:bCs/>
          <w:color w:val="1F3864"/>
          <w:sz w:val="22"/>
          <w:szCs w:val="22"/>
        </w:rPr>
        <w:t xml:space="preserve">Section 2 — Financial and economic standing</w:t>
      </w:r>
    </w:p>
    <w:p>
      <w:pPr>
        <w:pStyle w:val="ListParagraph"/>
        <w:numPr>
          <w:ilvl w:val="0"/>
          <w:numId w:val="2"/>
        </w:numPr>
        <w:spacing w:after="80"/>
      </w:pPr>
      <w:r>
        <w:rPr>
          <w:rFonts w:ascii="Times New Roman" w:cs="Times New Roman" w:eastAsia="Times New Roman" w:hAnsi="Times New Roman"/>
          <w:sz w:val="22"/>
          <w:szCs w:val="22"/>
        </w:rPr>
        <w:t xml:space="preserve">Financial accounts and evidence of financial standing</w:t>
      </w:r>
    </w:p>
    <w:p>
      <w:pPr>
        <w:pStyle w:val="ListParagraph"/>
        <w:numPr>
          <w:ilvl w:val="0"/>
          <w:numId w:val="2"/>
        </w:numPr>
        <w:spacing w:after="80"/>
      </w:pPr>
      <w:r>
        <w:rPr>
          <w:rFonts w:ascii="Times New Roman" w:cs="Times New Roman" w:eastAsia="Times New Roman" w:hAnsi="Times New Roman"/>
          <w:sz w:val="22"/>
          <w:szCs w:val="22"/>
        </w:rPr>
        <w:t xml:space="preserve">Insurance in place (employer's liability, public liability, professional indemnity)</w:t>
      </w:r>
    </w:p>
    <w:p>
      <w:pPr>
        <w:keepNext/>
        <w:spacing w:after="100" w:before="160"/>
      </w:pPr>
      <w:r>
        <w:rPr>
          <w:rFonts w:ascii="Arial" w:cs="Arial" w:eastAsia="Arial" w:hAnsi="Arial"/>
          <w:b/>
          <w:bCs/>
          <w:color w:val="1F3864"/>
          <w:sz w:val="22"/>
          <w:szCs w:val="22"/>
        </w:rPr>
        <w:t xml:space="preserve">Section 3 — Technical and professional ability</w:t>
      </w:r>
    </w:p>
    <w:p>
      <w:pPr>
        <w:pStyle w:val="ListParagraph"/>
        <w:numPr>
          <w:ilvl w:val="0"/>
          <w:numId w:val="2"/>
        </w:numPr>
        <w:spacing w:after="80"/>
      </w:pPr>
      <w:r>
        <w:rPr>
          <w:rFonts w:ascii="Times New Roman" w:cs="Times New Roman" w:eastAsia="Times New Roman" w:hAnsi="Times New Roman"/>
          <w:sz w:val="22"/>
          <w:szCs w:val="22"/>
        </w:rPr>
        <w:t xml:space="preserve">Relevant delivery experience in construction-sector training or TEPs</w:t>
      </w:r>
    </w:p>
    <w:p>
      <w:pPr>
        <w:pStyle w:val="ListParagraph"/>
        <w:numPr>
          <w:ilvl w:val="0"/>
          <w:numId w:val="2"/>
        </w:numPr>
        <w:spacing w:after="80"/>
      </w:pPr>
      <w:r>
        <w:rPr>
          <w:rFonts w:ascii="Times New Roman" w:cs="Times New Roman" w:eastAsia="Times New Roman" w:hAnsi="Times New Roman"/>
          <w:sz w:val="22"/>
          <w:szCs w:val="22"/>
        </w:rPr>
        <w:t xml:space="preserve">Awarding-body direct centre / qualification approval held or being sought</w:t>
      </w:r>
    </w:p>
    <w:p>
      <w:pPr>
        <w:pStyle w:val="ListParagraph"/>
        <w:numPr>
          <w:ilvl w:val="0"/>
          <w:numId w:val="2"/>
        </w:numPr>
        <w:spacing w:after="80"/>
      </w:pPr>
      <w:r>
        <w:rPr>
          <w:rFonts w:ascii="Times New Roman" w:cs="Times New Roman" w:eastAsia="Times New Roman" w:hAnsi="Times New Roman"/>
          <w:sz w:val="22"/>
          <w:szCs w:val="22"/>
        </w:rPr>
        <w:t xml:space="preserve">Staffing, qualifications and CPD arrangements for delivery staff</w:t>
      </w:r>
    </w:p>
    <w:p>
      <w:pPr>
        <w:pStyle w:val="ListParagraph"/>
        <w:numPr>
          <w:ilvl w:val="0"/>
          <w:numId w:val="2"/>
        </w:numPr>
        <w:spacing w:after="80"/>
      </w:pPr>
      <w:r>
        <w:rPr>
          <w:rFonts w:ascii="Times New Roman" w:cs="Times New Roman" w:eastAsia="Times New Roman" w:hAnsi="Times New Roman"/>
          <w:sz w:val="22"/>
          <w:szCs w:val="22"/>
        </w:rPr>
        <w:t xml:space="preserve">Quality assurance arrangements (e.g. RARPA cycle for non-regulated learning)</w:t>
      </w:r>
    </w:p>
    <w:p>
      <w:pPr>
        <w:keepNext/>
        <w:spacing w:after="100" w:before="160"/>
      </w:pPr>
      <w:r>
        <w:rPr>
          <w:rFonts w:ascii="Arial" w:cs="Arial" w:eastAsia="Arial" w:hAnsi="Arial"/>
          <w:b/>
          <w:bCs/>
          <w:color w:val="1F3864"/>
          <w:sz w:val="22"/>
          <w:szCs w:val="22"/>
        </w:rPr>
        <w:t xml:space="preserve">Section 4 — Safeguarding and compliance</w:t>
      </w:r>
    </w:p>
    <w:p>
      <w:pPr>
        <w:pStyle w:val="ListParagraph"/>
        <w:numPr>
          <w:ilvl w:val="0"/>
          <w:numId w:val="2"/>
        </w:numPr>
        <w:spacing w:after="80"/>
      </w:pPr>
      <w:r>
        <w:rPr>
          <w:rFonts w:ascii="Times New Roman" w:cs="Times New Roman" w:eastAsia="Times New Roman" w:hAnsi="Times New Roman"/>
          <w:sz w:val="22"/>
          <w:szCs w:val="22"/>
        </w:rPr>
        <w:t xml:space="preserve">Safeguarding policy and designated safeguarding lead</w:t>
      </w:r>
    </w:p>
    <w:p>
      <w:pPr>
        <w:pStyle w:val="ListParagraph"/>
        <w:numPr>
          <w:ilvl w:val="0"/>
          <w:numId w:val="2"/>
        </w:numPr>
        <w:spacing w:after="80"/>
      </w:pPr>
      <w:r>
        <w:rPr>
          <w:rFonts w:ascii="Times New Roman" w:cs="Times New Roman" w:eastAsia="Times New Roman" w:hAnsi="Times New Roman"/>
          <w:sz w:val="22"/>
          <w:szCs w:val="22"/>
        </w:rPr>
        <w:t xml:space="preserve">DBS / vetting arrangements for staff working with learners</w:t>
      </w:r>
    </w:p>
    <w:p>
      <w:pPr>
        <w:pStyle w:val="ListParagraph"/>
        <w:numPr>
          <w:ilvl w:val="0"/>
          <w:numId w:val="2"/>
        </w:numPr>
        <w:spacing w:after="80"/>
      </w:pPr>
      <w:r>
        <w:rPr>
          <w:rFonts w:ascii="Times New Roman" w:cs="Times New Roman" w:eastAsia="Times New Roman" w:hAnsi="Times New Roman"/>
          <w:sz w:val="22"/>
          <w:szCs w:val="22"/>
        </w:rPr>
        <w:t xml:space="preserve">Evidence-pack and ILR readiness, and experience of funder audit requirements</w:t>
      </w:r>
    </w:p>
    <w:p>
      <w:pPr>
        <w:keepNext/>
        <w:spacing w:after="100" w:before="160"/>
      </w:pPr>
      <w:r>
        <w:rPr>
          <w:rFonts w:ascii="Arial" w:cs="Arial" w:eastAsia="Arial" w:hAnsi="Arial"/>
          <w:b/>
          <w:bCs/>
          <w:color w:val="1F3864"/>
          <w:sz w:val="22"/>
          <w:szCs w:val="22"/>
        </w:rPr>
        <w:t xml:space="preserve">Consequences of misrepresentation</w:t>
      </w:r>
    </w:p>
    <w:p>
      <w:pPr>
        <w:spacing w:after="120"/>
      </w:pPr>
      <w:r>
        <w:rPr>
          <w:rFonts w:ascii="Times New Roman" w:cs="Times New Roman" w:eastAsia="Times New Roman" w:hAnsi="Times New Roman"/>
          <w:sz w:val="22"/>
          <w:szCs w:val="22"/>
        </w:rPr>
        <w:t xml:space="preserve">Providing false, inaccurate or misleading information in response to this Selection Questionnaire may result in disqualification from this procurement process.</w:t>
      </w:r>
    </w:p>
    <w:p>
      <w:r>
        <w:br w:type="page"/>
      </w:r>
    </w:p>
    <w:p>
      <w:pPr>
        <w:spacing w:after="200" w:before="240"/>
      </w:pPr>
      <w:r>
        <w:rPr>
          <w:rFonts w:ascii="Arial" w:cs="Arial" w:eastAsia="Arial" w:hAnsi="Arial"/>
          <w:b/>
          <w:bCs/>
          <w:color w:val="1F3864"/>
          <w:sz w:val="32"/>
          <w:szCs w:val="32"/>
        </w:rPr>
        <w:t xml:space="preserve">Appendix 3 — Award Questions</w:t>
      </w:r>
    </w:p>
    <w:p>
      <w:pPr>
        <w:spacing w:after="120"/>
      </w:pPr>
      <w:r>
        <w:rPr>
          <w:rFonts w:ascii="Times New Roman" w:cs="Times New Roman" w:eastAsia="Times New Roman" w:hAnsi="Times New Roman"/>
          <w:sz w:val="22"/>
          <w:szCs w:val="22"/>
        </w:rPr>
        <w:t xml:space="preserve">Candidates must respond to all questions below and submit their responses by email as set out in Part 1. Questions are scored using the scoring grid in Part 2.</w:t>
      </w:r>
    </w:p>
    <w:p>
      <w:pPr>
        <w:keepNext/>
        <w:spacing w:after="120" w:before="240"/>
      </w:pPr>
      <w:r>
        <w:rPr>
          <w:rFonts w:ascii="Arial" w:cs="Arial" w:eastAsia="Arial" w:hAnsi="Arial"/>
          <w:b/>
          <w:bCs/>
          <w:color w:val="1F3864"/>
          <w:sz w:val="26"/>
          <w:szCs w:val="26"/>
        </w:rPr>
        <w:t xml:space="preserve">Appendix 3A (Quality)</w:t>
      </w:r>
    </w:p>
    <w:p>
      <w:pPr>
        <w:spacing w:after="120" w:before="120"/>
      </w:pPr>
      <w:r>
        <w:rPr>
          <w:rFonts w:ascii="Times New Roman" w:cs="Times New Roman" w:eastAsia="Times New Roman" w:hAnsi="Times New Roman"/>
          <w:b/>
          <w:bCs/>
          <w:sz w:val="22"/>
          <w:szCs w:val="22"/>
        </w:rPr>
        <w:t xml:space="preserve">PLEASE NOTE: A MINIMUM SCORE OF ACCEPTABLE (60%) APPLIES TO QUESTIONS Q1, Q2 AND Q4.</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Q1 — Methodology: Readiness to Deliver</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140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provide details of your proposed methodology to ensure delivery can commence swiftly, and evidence that you can mobilise and begin delivery in time for a January 2027 go-live, including readiness to deliver the provision set out in your Delivery Plan.</w:t>
            </w:r>
          </w:p>
          <w:p>
            <w:pPr>
              <w:spacing w:after="60"/>
            </w:pPr>
            <w:r>
              <w:rPr>
                <w:rFonts w:ascii="Times New Roman" w:cs="Times New Roman" w:eastAsia="Times New Roman" w:hAnsi="Times New Roman"/>
                <w:b/>
                <w:bCs/>
                <w:sz w:val="20"/>
                <w:szCs w:val="20"/>
              </w:rPr>
              <w:t xml:space="preserve">Your response must include:</w:t>
            </w:r>
          </w:p>
          <w:p>
            <w:pPr>
              <w:pStyle w:val="ListParagraph"/>
              <w:numPr>
                <w:ilvl w:val="0"/>
                <w:numId w:val="2"/>
              </w:numPr>
              <w:spacing w:after="60"/>
            </w:pPr>
            <w:r>
              <w:rPr>
                <w:rFonts w:ascii="Times New Roman" w:cs="Times New Roman" w:eastAsia="Times New Roman" w:hAnsi="Times New Roman"/>
                <w:sz w:val="20"/>
                <w:szCs w:val="20"/>
              </w:rPr>
              <w:t xml:space="preserve">A mobilisation plan, including a delivery timeline, key milestones, and your approach to risk identification and management during the implementation phase.</w:t>
            </w:r>
          </w:p>
          <w:p>
            <w:pPr>
              <w:pStyle w:val="ListParagraph"/>
              <w:numPr>
                <w:ilvl w:val="0"/>
                <w:numId w:val="2"/>
              </w:numPr>
              <w:spacing w:after="60"/>
            </w:pPr>
            <w:r>
              <w:rPr>
                <w:rFonts w:ascii="Times New Roman" w:cs="Times New Roman" w:eastAsia="Times New Roman" w:hAnsi="Times New Roman"/>
                <w:sz w:val="20"/>
                <w:szCs w:val="20"/>
              </w:rPr>
              <w:t xml:space="preserve">Curriculum planning: structure and content overview, alignment to learner needs and desired outcomes, and curriculum improvement strategy.</w:t>
            </w:r>
          </w:p>
          <w:p>
            <w:pPr>
              <w:pStyle w:val="ListParagraph"/>
              <w:numPr>
                <w:ilvl w:val="0"/>
                <w:numId w:val="2"/>
              </w:numPr>
              <w:spacing w:after="60"/>
            </w:pPr>
            <w:r>
              <w:rPr>
                <w:rFonts w:ascii="Times New Roman" w:cs="Times New Roman" w:eastAsia="Times New Roman" w:hAnsi="Times New Roman"/>
                <w:sz w:val="20"/>
                <w:szCs w:val="20"/>
              </w:rPr>
              <w:t xml:space="preserve">Your staffing structure, including levels, posts and responsibilities, and the proportion of their time allocated to each stage of delivery. Provide a separate staffing organogram attachment (not included in the word count) listing the individual members of staff and their job titles.</w:t>
            </w:r>
          </w:p>
          <w:p>
            <w:pPr>
              <w:pStyle w:val="ListParagraph"/>
              <w:numPr>
                <w:ilvl w:val="0"/>
                <w:numId w:val="2"/>
              </w:numPr>
              <w:spacing w:after="60"/>
            </w:pPr>
            <w:r>
              <w:rPr>
                <w:rFonts w:ascii="Times New Roman" w:cs="Times New Roman" w:eastAsia="Times New Roman" w:hAnsi="Times New Roman"/>
                <w:sz w:val="20"/>
                <w:szCs w:val="20"/>
              </w:rPr>
              <w:t xml:space="preserve">Infrastructure: accessibility and readiness of facilities, and any IT systems/platforms used to support delivery.</w:t>
            </w:r>
          </w:p>
          <w:p>
            <w:pPr>
              <w:pStyle w:val="ListParagraph"/>
              <w:numPr>
                <w:ilvl w:val="0"/>
                <w:numId w:val="2"/>
              </w:numPr>
              <w:spacing w:after="60"/>
            </w:pPr>
            <w:r>
              <w:rPr>
                <w:rFonts w:ascii="Times New Roman" w:cs="Times New Roman" w:eastAsia="Times New Roman" w:hAnsi="Times New Roman"/>
                <w:sz w:val="20"/>
                <w:szCs w:val="20"/>
              </w:rPr>
              <w:t xml:space="preserve">Qualification approval, centre approval and claim status evidence for the qualification(s)/unitised delivery proposed.</w:t>
            </w:r>
          </w:p>
          <w:p>
            <w:pPr>
              <w:pStyle w:val="ListParagraph"/>
              <w:numPr>
                <w:ilvl w:val="0"/>
                <w:numId w:val="2"/>
              </w:numPr>
              <w:spacing w:after="60"/>
            </w:pPr>
            <w:r>
              <w:rPr>
                <w:rFonts w:ascii="Times New Roman" w:cs="Times New Roman" w:eastAsia="Times New Roman" w:hAnsi="Times New Roman"/>
                <w:sz w:val="20"/>
                <w:szCs w:val="20"/>
              </w:rPr>
              <w:t xml:space="preserve">How you intend to onboard learners in a timely fashion for the commencement of delivery, including details of an existing pipeline of learners.</w:t>
            </w:r>
          </w:p>
          <w:p>
            <w:pPr>
              <w:pStyle w:val="ListParagraph"/>
              <w:numPr>
                <w:ilvl w:val="0"/>
                <w:numId w:val="2"/>
              </w:numPr>
              <w:spacing w:after="60"/>
            </w:pPr>
            <w:r>
              <w:rPr>
                <w:rFonts w:ascii="Times New Roman" w:cs="Times New Roman" w:eastAsia="Times New Roman" w:hAnsi="Times New Roman"/>
                <w:sz w:val="20"/>
                <w:szCs w:val="20"/>
              </w:rPr>
              <w:t xml:space="preserve">The proposed delivery model for each provision, including the proportion (%) of each model (e.g. classroom, workplace, hybrid) and how it ensures access and supports learner progress.</w:t>
            </w:r>
          </w:p>
          <w:p>
            <w:pPr>
              <w:pStyle w:val="ListParagraph"/>
              <w:numPr>
                <w:ilvl w:val="0"/>
                <w:numId w:val="2"/>
              </w:numPr>
              <w:spacing w:after="60"/>
            </w:pPr>
            <w:r>
              <w:rPr>
                <w:rFonts w:ascii="Times New Roman" w:cs="Times New Roman" w:eastAsia="Times New Roman" w:hAnsi="Times New Roman"/>
                <w:sz w:val="20"/>
                <w:szCs w:val="20"/>
              </w:rPr>
              <w:t xml:space="preserve">How you will manage risks throughout delivery to ensure no impact upon service or gaps in provision during the life of the contract.</w:t>
            </w:r>
          </w:p>
          <w:p>
            <w:pPr>
              <w:spacing w:after="60" w:before="60"/>
            </w:pPr>
            <w:r>
              <w:rPr>
                <w:rFonts w:ascii="Times New Roman" w:cs="Times New Roman" w:eastAsia="Times New Roman" w:hAnsi="Times New Roman"/>
                <w:sz w:val="20"/>
                <w:szCs w:val="20"/>
              </w:rPr>
              <w:t xml:space="preserve">Your response should cover elements already established and those still to be put in place, and the approach and timescales for this in order for delivery to commence in a timely fashion.</w:t>
            </w:r>
          </w:p>
          <w:p>
            <w:pPr>
              <w:spacing w:after="60" w:before="60"/>
            </w:pPr>
            <w:r>
              <w:rPr>
                <w:rFonts w:ascii="Times New Roman" w:cs="Times New Roman" w:eastAsia="Times New Roman" w:hAnsi="Times New Roman"/>
                <w:sz w:val="20"/>
                <w:szCs w:val="20"/>
              </w:rPr>
              <w:t xml:space="preserve">You may draw upon your approach to similar projects that you have completed previously and explain how this will inform and enhance your delivery.</w:t>
            </w:r>
          </w:p>
          <w:p>
            <w:pPr>
              <w:spacing w:after="60" w:before="60"/>
            </w:pPr>
            <w:r>
              <w:rPr>
                <w:rFonts w:ascii="Times New Roman" w:cs="Times New Roman" w:eastAsia="Times New Roman" w:hAnsi="Times New Roman"/>
                <w:b/>
                <w:bCs/>
                <w:sz w:val="20"/>
                <w:szCs w:val="20"/>
              </w:rPr>
              <w:t xml:space="preserve">Note to Candidates — a minimum pass threshold of 60% (Acceptable) applies to this question.</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1000 words):</w:t>
            </w:r>
          </w:p>
          <w:p/>
          <w:p/>
        </w:tc>
      </w:tr>
    </w:tbl>
    <w:p>
      <w:pPr>
        <w:spacing w:before="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Q2 — Additionality: Complementing Existing Provision</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140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explain how your proposal complements, and does not duplicate, the existing grant-funded college-led construction provision described in Appendix 1 and Appendix 6.</w:t>
            </w:r>
          </w:p>
          <w:p>
            <w:pPr>
              <w:spacing w:after="60"/>
            </w:pPr>
            <w:r>
              <w:rPr>
                <w:rFonts w:ascii="Times New Roman" w:cs="Times New Roman" w:eastAsia="Times New Roman" w:hAnsi="Times New Roman"/>
                <w:b/>
                <w:bCs/>
                <w:sz w:val="20"/>
                <w:szCs w:val="20"/>
              </w:rPr>
              <w:t xml:space="preserve">Your response must include:</w:t>
            </w:r>
          </w:p>
          <w:p>
            <w:pPr>
              <w:pStyle w:val="ListParagraph"/>
              <w:numPr>
                <w:ilvl w:val="0"/>
                <w:numId w:val="2"/>
              </w:numPr>
              <w:spacing w:after="60"/>
            </w:pPr>
            <w:r>
              <w:rPr>
                <w:rFonts w:ascii="Times New Roman" w:cs="Times New Roman" w:eastAsia="Times New Roman" w:hAnsi="Times New Roman"/>
                <w:sz w:val="20"/>
                <w:szCs w:val="20"/>
              </w:rPr>
              <w:t xml:space="preserve">The gap, or specific problem, your proposal addresses, with evidence of need.</w:t>
            </w:r>
          </w:p>
          <w:p>
            <w:pPr>
              <w:pStyle w:val="ListParagraph"/>
              <w:numPr>
                <w:ilvl w:val="0"/>
                <w:numId w:val="2"/>
              </w:numPr>
              <w:spacing w:after="60"/>
            </w:pPr>
            <w:r>
              <w:rPr>
                <w:rFonts w:ascii="Times New Roman" w:cs="Times New Roman" w:eastAsia="Times New Roman" w:hAnsi="Times New Roman"/>
                <w:sz w:val="20"/>
                <w:szCs w:val="20"/>
              </w:rPr>
              <w:t xml:space="preserve">The qualification(s) and/or bespoke-aim TEP(s) proposed, confirming the level of each (Level 2 or Level 3 only), and how each is bespoke or targeted at priority groups.</w:t>
            </w:r>
          </w:p>
          <w:p>
            <w:pPr>
              <w:pStyle w:val="ListParagraph"/>
              <w:numPr>
                <w:ilvl w:val="0"/>
                <w:numId w:val="2"/>
              </w:numPr>
              <w:spacing w:after="60"/>
            </w:pPr>
            <w:r>
              <w:rPr>
                <w:rFonts w:ascii="Times New Roman" w:cs="Times New Roman" w:eastAsia="Times New Roman" w:hAnsi="Times New Roman"/>
                <w:sz w:val="20"/>
                <w:szCs w:val="20"/>
              </w:rPr>
              <w:t xml:space="preserve">Where your proposal is in a subject area already delivered by colleges, why it is additional and how it is differentiated.</w:t>
            </w:r>
          </w:p>
          <w:p>
            <w:pPr>
              <w:pStyle w:val="ListParagraph"/>
              <w:numPr>
                <w:ilvl w:val="0"/>
                <w:numId w:val="2"/>
              </w:numPr>
              <w:spacing w:after="60"/>
            </w:pPr>
            <w:r>
              <w:rPr>
                <w:rFonts w:ascii="Times New Roman" w:cs="Times New Roman" w:eastAsia="Times New Roman" w:hAnsi="Times New Roman"/>
                <w:sz w:val="20"/>
                <w:szCs w:val="20"/>
              </w:rPr>
              <w:t xml:space="preserve">The split of provision you intend to deliver in each West Yorkshire Local Authority area and the justification for this approach, including how your offer is accessible across the region.</w:t>
            </w:r>
          </w:p>
          <w:p>
            <w:pPr>
              <w:pStyle w:val="ListParagraph"/>
              <w:numPr>
                <w:ilvl w:val="0"/>
                <w:numId w:val="2"/>
              </w:numPr>
              <w:spacing w:after="60"/>
            </w:pPr>
            <w:r>
              <w:rPr>
                <w:rFonts w:ascii="Times New Roman" w:cs="Times New Roman" w:eastAsia="Times New Roman" w:hAnsi="Times New Roman"/>
                <w:sz w:val="20"/>
                <w:szCs w:val="20"/>
              </w:rPr>
              <w:t xml:space="preserve">For any non-accredited or bespoke aims, confirmation that these will be delivered as a Targeted Employment Programme with a KPI of 50% into employment.</w:t>
            </w:r>
          </w:p>
          <w:p>
            <w:pPr>
              <w:spacing w:after="60" w:before="60"/>
            </w:pPr>
            <w:r>
              <w:rPr>
                <w:rFonts w:ascii="Times New Roman" w:cs="Times New Roman" w:eastAsia="Times New Roman" w:hAnsi="Times New Roman"/>
                <w:sz w:val="20"/>
                <w:szCs w:val="20"/>
              </w:rPr>
              <w:t xml:space="preserve">You may draw upon your approach to similar projects that you have completed previously and explain how this will inform and enhance your delivery.</w:t>
            </w:r>
          </w:p>
          <w:p>
            <w:pPr>
              <w:spacing w:after="60" w:before="60"/>
            </w:pPr>
            <w:r>
              <w:rPr>
                <w:rFonts w:ascii="Times New Roman" w:cs="Times New Roman" w:eastAsia="Times New Roman" w:hAnsi="Times New Roman"/>
                <w:b/>
                <w:bCs/>
                <w:sz w:val="20"/>
                <w:szCs w:val="20"/>
              </w:rPr>
              <w:t xml:space="preserve">Note to Candidates — a minimum pass threshold of 60% (Acceptable) applies to this question.</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1000 words):</w:t>
            </w:r>
          </w:p>
          <w:p/>
          <w:p/>
        </w:tc>
      </w:tr>
    </w:tbl>
    <w:p>
      <w:pPr>
        <w:spacing w:before="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Q3 — Meeting Learner Needs</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120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detail why your proposed delivery methods are the most appropriate to meet the needs of West Yorkshire learners, including the measures and support in place to facilitate the engagement and progression of under-represented learners.</w:t>
            </w:r>
          </w:p>
          <w:p>
            <w:pPr>
              <w:spacing w:after="60"/>
            </w:pPr>
            <w:r>
              <w:rPr>
                <w:rFonts w:ascii="Times New Roman" w:cs="Times New Roman" w:eastAsia="Times New Roman" w:hAnsi="Times New Roman"/>
                <w:b/>
                <w:bCs/>
                <w:sz w:val="20"/>
                <w:szCs w:val="20"/>
              </w:rPr>
              <w:t xml:space="preserve">Your response must include:</w:t>
            </w:r>
          </w:p>
          <w:p>
            <w:pPr>
              <w:pStyle w:val="ListParagraph"/>
              <w:numPr>
                <w:ilvl w:val="0"/>
                <w:numId w:val="2"/>
              </w:numPr>
              <w:spacing w:after="60"/>
            </w:pPr>
            <w:r>
              <w:rPr>
                <w:rFonts w:ascii="Times New Roman" w:cs="Times New Roman" w:eastAsia="Times New Roman" w:hAnsi="Times New Roman"/>
                <w:sz w:val="20"/>
                <w:szCs w:val="20"/>
              </w:rPr>
              <w:t xml:space="preserve">Proposed course content, including key features, any accreditations and accredited units/modules.</w:t>
            </w:r>
          </w:p>
          <w:p>
            <w:pPr>
              <w:pStyle w:val="ListParagraph"/>
              <w:numPr>
                <w:ilvl w:val="0"/>
                <w:numId w:val="2"/>
              </w:numPr>
              <w:spacing w:after="60"/>
            </w:pPr>
            <w:r>
              <w:rPr>
                <w:rFonts w:ascii="Times New Roman" w:cs="Times New Roman" w:eastAsia="Times New Roman" w:hAnsi="Times New Roman"/>
                <w:sz w:val="20"/>
                <w:szCs w:val="20"/>
              </w:rPr>
              <w:t xml:space="preserve">How you will manage a learner's journey from initial contact through to progression, including engagement, monitoring progress, advice and guidance, and progression.</w:t>
            </w:r>
          </w:p>
          <w:p>
            <w:pPr>
              <w:pStyle w:val="ListParagraph"/>
              <w:numPr>
                <w:ilvl w:val="0"/>
                <w:numId w:val="2"/>
              </w:numPr>
              <w:spacing w:after="60"/>
            </w:pPr>
            <w:r>
              <w:rPr>
                <w:rFonts w:ascii="Times New Roman" w:cs="Times New Roman" w:eastAsia="Times New Roman" w:hAnsi="Times New Roman"/>
                <w:sz w:val="20"/>
                <w:szCs w:val="20"/>
              </w:rPr>
              <w:t xml:space="preserve">Progression from Level 1: how learners on Level 1 pathways (for example entry, taster and employability provision) can progress onto the Level 2/3 provision you propose, including any feeder routes, partnerships or referral arrangements, and how you will support learners who do not yet meet entry requirements.</w:t>
            </w:r>
          </w:p>
          <w:p>
            <w:pPr>
              <w:pStyle w:val="ListParagraph"/>
              <w:numPr>
                <w:ilvl w:val="0"/>
                <w:numId w:val="2"/>
              </w:numPr>
              <w:spacing w:after="60"/>
            </w:pPr>
            <w:r>
              <w:rPr>
                <w:rFonts w:ascii="Times New Roman" w:cs="Times New Roman" w:eastAsia="Times New Roman" w:hAnsi="Times New Roman"/>
                <w:sz w:val="20"/>
                <w:szCs w:val="20"/>
              </w:rPr>
              <w:t xml:space="preserve">How you will ensure the activity delivered is appropriate, effective and tailored to the specific needs of sectors and individuals, so it delivers the skills learners need for progression into work.</w:t>
            </w:r>
          </w:p>
          <w:p>
            <w:pPr>
              <w:pStyle w:val="ListParagraph"/>
              <w:numPr>
                <w:ilvl w:val="0"/>
                <w:numId w:val="2"/>
              </w:numPr>
              <w:spacing w:after="60"/>
            </w:pPr>
            <w:r>
              <w:rPr>
                <w:rFonts w:ascii="Times New Roman" w:cs="Times New Roman" w:eastAsia="Times New Roman" w:hAnsi="Times New Roman"/>
                <w:sz w:val="20"/>
                <w:szCs w:val="20"/>
              </w:rPr>
              <w:t xml:space="preserve">How you will provide additional support to enable increasing skills and progression opportunities, including how further progression into employment and/or further learning is encouraged and embedded.</w:t>
            </w:r>
          </w:p>
          <w:p>
            <w:pPr>
              <w:pStyle w:val="ListParagraph"/>
              <w:numPr>
                <w:ilvl w:val="0"/>
                <w:numId w:val="2"/>
              </w:numPr>
              <w:spacing w:after="60"/>
            </w:pPr>
            <w:r>
              <w:rPr>
                <w:rFonts w:ascii="Times New Roman" w:cs="Times New Roman" w:eastAsia="Times New Roman" w:hAnsi="Times New Roman"/>
                <w:sz w:val="20"/>
                <w:szCs w:val="20"/>
              </w:rPr>
              <w:t xml:space="preserve">How you will utilise Learner Support to break down barriers to access.</w:t>
            </w:r>
          </w:p>
          <w:p>
            <w:pPr>
              <w:pStyle w:val="ListParagraph"/>
              <w:numPr>
                <w:ilvl w:val="0"/>
                <w:numId w:val="2"/>
              </w:numPr>
              <w:spacing w:after="60"/>
            </w:pPr>
            <w:r>
              <w:rPr>
                <w:rFonts w:ascii="Times New Roman" w:cs="Times New Roman" w:eastAsia="Times New Roman" w:hAnsi="Times New Roman"/>
                <w:sz w:val="20"/>
                <w:szCs w:val="20"/>
              </w:rPr>
              <w:t xml:space="preserve">The resources you will put in place to offer local and flexible access to provision across the West Yorkshire region.</w:t>
            </w:r>
          </w:p>
          <w:p>
            <w:pPr>
              <w:spacing w:after="60" w:before="60"/>
            </w:pPr>
            <w:r>
              <w:rPr>
                <w:rFonts w:ascii="Times New Roman" w:cs="Times New Roman" w:eastAsia="Times New Roman" w:hAnsi="Times New Roman"/>
                <w:sz w:val="20"/>
                <w:szCs w:val="20"/>
              </w:rPr>
              <w:t xml:space="preserve">You may draw upon your approach to similar projects that you have completed previously and explain how this will inform and enhance your delivery.</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1000 words):</w:t>
            </w:r>
          </w:p>
          <w:p/>
          <w:p/>
        </w:tc>
      </w:tr>
    </w:tbl>
    <w:p>
      <w:pPr>
        <w:spacing w:before="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Q4 — Meeting Economic and Strategic Needs, Employer Links and Partnership Working</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120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describe how your intended delivery contributes to the priorities, strategic ambitions and economic and social needs of the region in relation to the West Yorkshire Combined Authority's Adult Skills Plan 2026 and the Construction Skills Package.</w:t>
            </w:r>
          </w:p>
          <w:p>
            <w:pPr>
              <w:spacing w:after="60"/>
            </w:pPr>
            <w:r>
              <w:rPr>
                <w:rFonts w:ascii="Times New Roman" w:cs="Times New Roman" w:eastAsia="Times New Roman" w:hAnsi="Times New Roman"/>
                <w:b/>
                <w:bCs/>
                <w:sz w:val="20"/>
                <w:szCs w:val="20"/>
              </w:rPr>
              <w:t xml:space="preserve">Your response must include:</w:t>
            </w:r>
          </w:p>
          <w:p>
            <w:pPr>
              <w:pStyle w:val="ListParagraph"/>
              <w:numPr>
                <w:ilvl w:val="0"/>
                <w:numId w:val="2"/>
              </w:numPr>
              <w:spacing w:after="60"/>
            </w:pPr>
            <w:r>
              <w:rPr>
                <w:rFonts w:ascii="Times New Roman" w:cs="Times New Roman" w:eastAsia="Times New Roman" w:hAnsi="Times New Roman"/>
                <w:sz w:val="20"/>
                <w:szCs w:val="20"/>
              </w:rPr>
              <w:t xml:space="preserve">How your organisation will collaborate and co-design provision with employers to tackle skills challenges, including recruitment into vacant posts, with named employers where possible.</w:t>
            </w:r>
          </w:p>
          <w:p>
            <w:pPr>
              <w:pStyle w:val="ListParagraph"/>
              <w:numPr>
                <w:ilvl w:val="0"/>
                <w:numId w:val="2"/>
              </w:numPr>
              <w:spacing w:after="60"/>
            </w:pPr>
            <w:r>
              <w:rPr>
                <w:rFonts w:ascii="Times New Roman" w:cs="Times New Roman" w:eastAsia="Times New Roman" w:hAnsi="Times New Roman"/>
                <w:sz w:val="20"/>
                <w:szCs w:val="20"/>
              </w:rPr>
              <w:t xml:space="preserve">How your organisation will work with key stakeholders, including local councils, to ensure your services are relevant to the industry and the needs of residents, resulting in positive outcomes.</w:t>
            </w:r>
          </w:p>
          <w:p>
            <w:pPr>
              <w:pStyle w:val="ListParagraph"/>
              <w:numPr>
                <w:ilvl w:val="0"/>
                <w:numId w:val="2"/>
              </w:numPr>
              <w:spacing w:after="60"/>
            </w:pPr>
            <w:r>
              <w:rPr>
                <w:rFonts w:ascii="Times New Roman" w:cs="Times New Roman" w:eastAsia="Times New Roman" w:hAnsi="Times New Roman"/>
                <w:sz w:val="20"/>
                <w:szCs w:val="20"/>
              </w:rPr>
              <w:t xml:space="preserve">Your engagement and marketing plan: how you will target West Yorkshire residents who do not hold a Level 2 qualification, are unemployed or on a low wage, are NEET, or are under-represented in the construction sector (for example women and ethnic minorities).</w:t>
            </w:r>
          </w:p>
          <w:p>
            <w:pPr>
              <w:pStyle w:val="ListParagraph"/>
              <w:numPr>
                <w:ilvl w:val="0"/>
                <w:numId w:val="2"/>
              </w:numPr>
              <w:spacing w:after="60"/>
            </w:pPr>
            <w:r>
              <w:rPr>
                <w:rFonts w:ascii="Times New Roman" w:cs="Times New Roman" w:eastAsia="Times New Roman" w:hAnsi="Times New Roman"/>
                <w:sz w:val="20"/>
                <w:szCs w:val="20"/>
              </w:rPr>
              <w:t xml:space="preserve">How you will ensure the target number of learners are engaged from priority groups and deprived areas, including those identifying as living with a disability or from an ethnic minority.</w:t>
            </w:r>
          </w:p>
          <w:p>
            <w:pPr>
              <w:pStyle w:val="ListParagraph"/>
              <w:numPr>
                <w:ilvl w:val="0"/>
                <w:numId w:val="2"/>
              </w:numPr>
              <w:spacing w:after="60"/>
            </w:pPr>
            <w:r>
              <w:rPr>
                <w:rFonts w:ascii="Times New Roman" w:cs="Times New Roman" w:eastAsia="Times New Roman" w:hAnsi="Times New Roman"/>
                <w:sz w:val="20"/>
                <w:szCs w:val="20"/>
              </w:rPr>
              <w:t xml:space="preserve">Your route to achieving at least 50% progression into work for learners on a TEP.</w:t>
            </w:r>
          </w:p>
          <w:p>
            <w:pPr>
              <w:spacing w:after="60" w:before="60"/>
            </w:pPr>
            <w:r>
              <w:rPr>
                <w:rFonts w:ascii="Times New Roman" w:cs="Times New Roman" w:eastAsia="Times New Roman" w:hAnsi="Times New Roman"/>
                <w:sz w:val="20"/>
                <w:szCs w:val="20"/>
              </w:rPr>
              <w:t xml:space="preserve">You may draw upon your approach to similar projects that you have completed previously and explain how this will inform and enhance your delivery.</w:t>
            </w:r>
          </w:p>
          <w:p>
            <w:pPr>
              <w:spacing w:after="60" w:before="60"/>
            </w:pPr>
            <w:r>
              <w:rPr>
                <w:rFonts w:ascii="Times New Roman" w:cs="Times New Roman" w:eastAsia="Times New Roman" w:hAnsi="Times New Roman"/>
                <w:b/>
                <w:bCs/>
                <w:sz w:val="20"/>
                <w:szCs w:val="20"/>
              </w:rPr>
              <w:t xml:space="preserve">Note to Candidates — a minimum pass threshold of 60% (Acceptable) applies to this question.</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1000 words):</w:t>
            </w:r>
          </w:p>
          <w:p/>
          <w:p/>
        </w:tc>
      </w:tr>
    </w:tbl>
    <w:p>
      <w:pPr>
        <w:spacing w:before="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Q5 — Funding Compliance &amp; Performance Management</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90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describe the systems and processes that will be used to provide a robust audit trail of evidence to support how you will meet the funding rules and our contractual requirements, and prevent fraud and error by learners, employers and your own employees.</w:t>
            </w:r>
          </w:p>
          <w:p>
            <w:pPr>
              <w:spacing w:after="60"/>
            </w:pPr>
            <w:r>
              <w:rPr>
                <w:rFonts w:ascii="Times New Roman" w:cs="Times New Roman" w:eastAsia="Times New Roman" w:hAnsi="Times New Roman"/>
                <w:b/>
                <w:bCs/>
                <w:sz w:val="20"/>
                <w:szCs w:val="20"/>
              </w:rPr>
              <w:t xml:space="preserve">Your response must include:</w:t>
            </w:r>
          </w:p>
          <w:p>
            <w:pPr>
              <w:pStyle w:val="ListParagraph"/>
              <w:numPr>
                <w:ilvl w:val="0"/>
                <w:numId w:val="2"/>
              </w:numPr>
              <w:spacing w:after="60"/>
            </w:pPr>
            <w:r>
              <w:rPr>
                <w:rFonts w:ascii="Times New Roman" w:cs="Times New Roman" w:eastAsia="Times New Roman" w:hAnsi="Times New Roman"/>
                <w:sz w:val="20"/>
                <w:szCs w:val="20"/>
              </w:rPr>
              <w:t xml:space="preserve">Evidence required to prove eligibility for funding, including residency and initial assessment of prior learning.</w:t>
            </w:r>
          </w:p>
          <w:p>
            <w:pPr>
              <w:pStyle w:val="ListParagraph"/>
              <w:numPr>
                <w:ilvl w:val="0"/>
                <w:numId w:val="2"/>
              </w:numPr>
              <w:spacing w:after="60"/>
            </w:pPr>
            <w:r>
              <w:rPr>
                <w:rFonts w:ascii="Times New Roman" w:cs="Times New Roman" w:eastAsia="Times New Roman" w:hAnsi="Times New Roman"/>
                <w:sz w:val="20"/>
                <w:szCs w:val="20"/>
              </w:rPr>
              <w:t xml:space="preserve">Quality and due diligence checks on provision, including measures you will take to improve this where relevant.</w:t>
            </w:r>
          </w:p>
          <w:p>
            <w:pPr>
              <w:pStyle w:val="ListParagraph"/>
              <w:numPr>
                <w:ilvl w:val="0"/>
                <w:numId w:val="2"/>
              </w:numPr>
              <w:spacing w:after="60"/>
            </w:pPr>
            <w:r>
              <w:rPr>
                <w:rFonts w:ascii="Times New Roman" w:cs="Times New Roman" w:eastAsia="Times New Roman" w:hAnsi="Times New Roman"/>
                <w:sz w:val="20"/>
                <w:szCs w:val="20"/>
              </w:rPr>
              <w:t xml:space="preserve">How you will track participant attendance, review records, achievement, impact and progression.</w:t>
            </w:r>
          </w:p>
          <w:p>
            <w:pPr>
              <w:pStyle w:val="ListParagraph"/>
              <w:numPr>
                <w:ilvl w:val="0"/>
                <w:numId w:val="2"/>
              </w:numPr>
              <w:spacing w:after="60"/>
            </w:pPr>
            <w:r>
              <w:rPr>
                <w:rFonts w:ascii="Times New Roman" w:cs="Times New Roman" w:eastAsia="Times New Roman" w:hAnsi="Times New Roman"/>
                <w:sz w:val="20"/>
                <w:szCs w:val="20"/>
              </w:rPr>
              <w:t xml:space="preserve">How you will manage Individualised Learner Record (ILR) data submissions, including review of Data Self-Assessment Toolkit (DSAT) and other reporting.</w:t>
            </w:r>
          </w:p>
          <w:p>
            <w:pPr>
              <w:pStyle w:val="ListParagraph"/>
              <w:numPr>
                <w:ilvl w:val="0"/>
                <w:numId w:val="2"/>
              </w:numPr>
              <w:spacing w:after="60"/>
            </w:pPr>
            <w:r>
              <w:rPr>
                <w:rFonts w:ascii="Times New Roman" w:cs="Times New Roman" w:eastAsia="Times New Roman" w:hAnsi="Times New Roman"/>
                <w:sz w:val="20"/>
                <w:szCs w:val="20"/>
              </w:rPr>
              <w:t xml:space="preserve">Audit and compliance checks and procedures on the ILR, including measures you will take to improve.</w:t>
            </w:r>
          </w:p>
          <w:p>
            <w:pPr>
              <w:pStyle w:val="ListParagraph"/>
              <w:numPr>
                <w:ilvl w:val="0"/>
                <w:numId w:val="2"/>
              </w:numPr>
              <w:spacing w:after="60"/>
            </w:pPr>
            <w:r>
              <w:rPr>
                <w:rFonts w:ascii="Times New Roman" w:cs="Times New Roman" w:eastAsia="Times New Roman" w:hAnsi="Times New Roman"/>
                <w:sz w:val="20"/>
                <w:szCs w:val="20"/>
              </w:rPr>
              <w:t xml:space="preserve">Processes for ensuring the correct assessment, provision, accreditation and claim of learning and learner support payments.</w:t>
            </w:r>
          </w:p>
          <w:p>
            <w:pPr>
              <w:spacing w:after="60" w:before="60"/>
            </w:pPr>
            <w:r>
              <w:rPr>
                <w:rFonts w:ascii="Times New Roman" w:cs="Times New Roman" w:eastAsia="Times New Roman" w:hAnsi="Times New Roman"/>
                <w:sz w:val="20"/>
                <w:szCs w:val="20"/>
              </w:rPr>
              <w:t xml:space="preserve">You may draw upon your approach to similar projects that you have completed previously and explain how this will inform and enhance your delivery.</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1000 words):</w:t>
            </w:r>
          </w:p>
          <w:p/>
          <w:p/>
        </w:tc>
      </w:tr>
    </w:tbl>
    <w:p>
      <w:pPr>
        <w:spacing w:before="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Q6 — Quality Assurance</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90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describe the systems and processes that will be used to robustly quality assure your provision, and how your quality assurance arrangements will result in improved outcomes for learners and continued delivery of high-quality provision, drawing upon previous examples to demonstrate this where applicable.</w:t>
            </w:r>
          </w:p>
          <w:p>
            <w:pPr>
              <w:spacing w:after="60"/>
            </w:pPr>
            <w:r>
              <w:rPr>
                <w:rFonts w:ascii="Times New Roman" w:cs="Times New Roman" w:eastAsia="Times New Roman" w:hAnsi="Times New Roman"/>
                <w:b/>
                <w:bCs/>
                <w:sz w:val="20"/>
                <w:szCs w:val="20"/>
              </w:rPr>
              <w:t xml:space="preserve">Your response must include:</w:t>
            </w:r>
          </w:p>
          <w:p>
            <w:pPr>
              <w:pStyle w:val="ListParagraph"/>
              <w:numPr>
                <w:ilvl w:val="0"/>
                <w:numId w:val="2"/>
              </w:numPr>
              <w:spacing w:after="60"/>
            </w:pPr>
            <w:r>
              <w:rPr>
                <w:rFonts w:ascii="Times New Roman" w:cs="Times New Roman" w:eastAsia="Times New Roman" w:hAnsi="Times New Roman"/>
                <w:sz w:val="20"/>
                <w:szCs w:val="20"/>
              </w:rPr>
              <w:t xml:space="preserve">Your arrangements for governance and management scrutiny of quality.</w:t>
            </w:r>
          </w:p>
          <w:p>
            <w:pPr>
              <w:pStyle w:val="ListParagraph"/>
              <w:numPr>
                <w:ilvl w:val="0"/>
                <w:numId w:val="2"/>
              </w:numPr>
              <w:spacing w:after="60"/>
            </w:pPr>
            <w:r>
              <w:rPr>
                <w:rFonts w:ascii="Times New Roman" w:cs="Times New Roman" w:eastAsia="Times New Roman" w:hAnsi="Times New Roman"/>
                <w:sz w:val="20"/>
                <w:szCs w:val="20"/>
              </w:rPr>
              <w:t xml:space="preserve">What quality and improvement arrangements are in place, including your current Ofsted rating (where applicable) and how you have responded to any inspections or monitoring visits.</w:t>
            </w:r>
          </w:p>
          <w:p>
            <w:pPr>
              <w:pStyle w:val="ListParagraph"/>
              <w:numPr>
                <w:ilvl w:val="0"/>
                <w:numId w:val="2"/>
              </w:numPr>
              <w:spacing w:after="60"/>
            </w:pPr>
            <w:r>
              <w:rPr>
                <w:rFonts w:ascii="Times New Roman" w:cs="Times New Roman" w:eastAsia="Times New Roman" w:hAnsi="Times New Roman"/>
                <w:sz w:val="20"/>
                <w:szCs w:val="20"/>
              </w:rPr>
              <w:t xml:space="preserve">How staff professional development is linked to your quality and improvement plans.</w:t>
            </w:r>
          </w:p>
          <w:p>
            <w:pPr>
              <w:pStyle w:val="ListParagraph"/>
              <w:numPr>
                <w:ilvl w:val="0"/>
                <w:numId w:val="2"/>
              </w:numPr>
              <w:spacing w:after="60"/>
            </w:pPr>
            <w:r>
              <w:rPr>
                <w:rFonts w:ascii="Times New Roman" w:cs="Times New Roman" w:eastAsia="Times New Roman" w:hAnsi="Times New Roman"/>
                <w:sz w:val="20"/>
                <w:szCs w:val="20"/>
              </w:rPr>
              <w:t xml:space="preserve">Routes for escalation and processes for under-performance of delivery and staff.</w:t>
            </w:r>
          </w:p>
          <w:p>
            <w:pPr>
              <w:pStyle w:val="ListParagraph"/>
              <w:numPr>
                <w:ilvl w:val="0"/>
                <w:numId w:val="2"/>
              </w:numPr>
              <w:spacing w:after="60"/>
            </w:pPr>
            <w:r>
              <w:rPr>
                <w:rFonts w:ascii="Times New Roman" w:cs="Times New Roman" w:eastAsia="Times New Roman" w:hAnsi="Times New Roman"/>
                <w:sz w:val="20"/>
                <w:szCs w:val="20"/>
              </w:rPr>
              <w:t xml:space="preserve">Detail of systems, processes and authority in place to deliver and award the learning aims and qualifications that will be offered.</w:t>
            </w:r>
          </w:p>
          <w:p>
            <w:pPr>
              <w:spacing w:after="60" w:before="60"/>
            </w:pPr>
            <w:r>
              <w:rPr>
                <w:rFonts w:ascii="Times New Roman" w:cs="Times New Roman" w:eastAsia="Times New Roman" w:hAnsi="Times New Roman"/>
                <w:sz w:val="20"/>
                <w:szCs w:val="20"/>
              </w:rPr>
              <w:t xml:space="preserve">You may draw upon your approach to similar projects that you have completed previously and explain how this will inform and enhance your delivery.</w:t>
            </w:r>
          </w:p>
          <w:p>
            <w:pPr>
              <w:spacing w:after="60" w:before="60"/>
            </w:pPr>
            <w:r>
              <w:rPr>
                <w:rFonts w:ascii="Times New Roman" w:cs="Times New Roman" w:eastAsia="Times New Roman" w:hAnsi="Times New Roman"/>
                <w:sz w:val="20"/>
                <w:szCs w:val="20"/>
              </w:rPr>
              <w:t xml:space="preserve">If your most recent Ofsted inspection result is ‘Requires improvement’ but you have since received a monitoring visit, please provide details, including the progress judgement made, as a separate appendix limited to an additional 500 words.</w:t>
            </w:r>
          </w:p>
          <w:p>
            <w:pPr>
              <w:spacing w:after="60" w:before="60"/>
            </w:pPr>
            <w:r>
              <w:rPr>
                <w:rFonts w:ascii="Times New Roman" w:cs="Times New Roman" w:eastAsia="Times New Roman" w:hAnsi="Times New Roman"/>
                <w:sz w:val="20"/>
                <w:szCs w:val="20"/>
              </w:rPr>
              <w:t xml:space="preserve">Just prior to the point of contracting, up-to-date SAR and QIP documents will be requested and reviewed as part of the College's due diligence for successful Candidates.</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750 words):</w:t>
            </w:r>
          </w:p>
          <w:p/>
          <w:p/>
        </w:tc>
      </w:tr>
    </w:tbl>
    <w:p>
      <w:pPr>
        <w:spacing w:before="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Q7 — Delivery Plan</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Not scored</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complete the Delivery Plan tab (and the Employer &amp; Progression tab) of the attached workbook “CSP Pricing Schedule and Delivery Plan Template”. It should outline your delivery plan from the January 2027 go-live to 31 July 2027. Instructions are on the Guidance tab.</w:t>
            </w:r>
          </w:p>
          <w:p>
            <w:pPr>
              <w:spacing w:after="60" w:before="60"/>
            </w:pPr>
            <w:r>
              <w:rPr>
                <w:rFonts w:ascii="Times New Roman" w:cs="Times New Roman" w:eastAsia="Times New Roman" w:hAnsi="Times New Roman"/>
                <w:sz w:val="20"/>
                <w:szCs w:val="20"/>
              </w:rPr>
              <w:t xml:space="preserve">The Delivery Plan will be reviewed holistically with your responses to Questions Q1 to Q4 and used to inform contract award. It will allow the College and the Combined Authority to track allocation in each Local Authority area, and they reserve the right to propose changes to delivery with successful Candidates to ensure a mix and spread of provision across West Yorkshire.</w:t>
            </w:r>
          </w:p>
          <w:p>
            <w:pPr>
              <w:spacing w:after="60" w:before="60"/>
            </w:pPr>
            <w:r>
              <w:rPr>
                <w:rFonts w:ascii="Times New Roman" w:cs="Times New Roman" w:eastAsia="Times New Roman" w:hAnsi="Times New Roman"/>
                <w:sz w:val="20"/>
                <w:szCs w:val="20"/>
              </w:rPr>
              <w:t xml:space="preserve">Learner Support can be used to break down barriers to access delivery and should be listed separately on the Delivery Plan where relevant.</w:t>
            </w:r>
          </w:p>
          <w:p>
            <w:pPr>
              <w:spacing w:after="60" w:before="60"/>
            </w:pPr>
            <w:r>
              <w:rPr>
                <w:rFonts w:ascii="Times New Roman" w:cs="Times New Roman" w:eastAsia="Times New Roman" w:hAnsi="Times New Roman"/>
                <w:sz w:val="20"/>
                <w:szCs w:val="20"/>
              </w:rPr>
              <w:t xml:space="preserve">This question is not scored; however, failure to upload a Delivery Plan will result in immediate dismissal of the Tender.</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n/a words):</w:t>
            </w:r>
          </w:p>
          <w:p/>
          <w:p/>
        </w:tc>
      </w:tr>
    </w:tbl>
    <w:p>
      <w:pPr>
        <w:spacing w:before="160"/>
      </w:pPr>
    </w:p>
    <w:p>
      <w:pPr>
        <w:keepNext/>
        <w:spacing w:after="120" w:before="240"/>
      </w:pPr>
      <w:r>
        <w:rPr>
          <w:rFonts w:ascii="Arial" w:cs="Arial" w:eastAsia="Arial" w:hAnsi="Arial"/>
          <w:b/>
          <w:bCs/>
          <w:color w:val="1F3864"/>
          <w:sz w:val="26"/>
          <w:szCs w:val="26"/>
        </w:rPr>
        <w:t xml:space="preserve">Appendix 3B (Pricing)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Question P1 — Pricing</w:t>
            </w:r>
          </w:p>
        </w:tc>
        <w:tc>
          <w:tcPr>
            <w:tcW w:type="dxa" w:w="2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pPr>
              <w:jc w:val="right"/>
            </w:pPr>
            <w:r>
              <w:rPr>
                <w:rFonts w:ascii="Times New Roman" w:cs="Times New Roman" w:eastAsia="Times New Roman" w:hAnsi="Times New Roman"/>
                <w:b/>
                <w:bCs/>
                <w:color w:val="FFFFFF"/>
                <w:sz w:val="20"/>
                <w:szCs w:val="20"/>
              </w:rPr>
              <w:t xml:space="preserve">300</w:t>
            </w:r>
          </w:p>
        </w:tc>
      </w:tr>
      <w:tr>
        <w:tc>
          <w:tcPr>
            <w:tcW w:type="dxa" w:w="9350"/>
            <w:gridSpan w:val="2"/>
            <w:tcBorders>
              <w:top w:val="single" w:color="808080" w:sz="4"/>
              <w:left w:val="single" w:color="808080" w:sz="4"/>
              <w:bottom w:val="single" w:color="808080" w:sz="4"/>
              <w:right w:val="single" w:color="808080" w:sz="4"/>
            </w:tcBorders>
            <w:tcMar>
              <w:top w:type="dxa" w:w="80"/>
              <w:left w:type="dxa" w:w="110"/>
              <w:bottom w:type="dxa" w:w="80"/>
              <w:right w:type="dxa" w:w="110"/>
            </w:tcMar>
          </w:tcPr>
          <w:p>
            <w:pPr>
              <w:spacing w:after="100"/>
            </w:pPr>
            <w:r>
              <w:rPr>
                <w:rFonts w:ascii="Times New Roman" w:cs="Times New Roman" w:eastAsia="Times New Roman" w:hAnsi="Times New Roman"/>
                <w:sz w:val="20"/>
                <w:szCs w:val="20"/>
              </w:rPr>
              <w:t xml:space="preserve">Please complete the Pricing Schedule tab (and Provider Information and any Bespoke Programme tabs) of the attached workbook “CSP Pricing Schedule and Delivery Plan Template”, completing all yellow cells. Costs are calculated at the construction skills rate of £9.60 per guided learning hour unless a different funded rate applies. A total of £351,670 is available across up to four Providers (indicative minimum of £87,917.50 per Provider if shared equally). </w:t>
            </w:r>
          </w:p>
        </w:tc>
      </w:tr>
      <w:tr>
        <w:tc>
          <w:tcPr>
            <w:tcW w:type="dxa" w:w="9350"/>
            <w:gridSpan w:val="2"/>
            <w:tcBorders>
              <w:top w:val="single" w:color="808080" w:sz="4"/>
              <w:left w:val="single" w:color="808080" w:sz="4"/>
              <w:bottom w:val="single" w:color="808080" w:sz="4"/>
              <w:right w:val="single" w:color="808080" w:sz="4"/>
            </w:tcBorders>
            <w:shd w:fill="F2F2F2" w:color="auto" w:val="clear"/>
            <w:tcMar>
              <w:top w:type="dxa" w:w="80"/>
              <w:left w:type="dxa" w:w="110"/>
              <w:bottom w:type="dxa" w:w="80"/>
              <w:right w:type="dxa" w:w="110"/>
            </w:tcMar>
          </w:tcPr>
          <w:p>
            <w:r>
              <w:rPr>
                <w:rFonts w:ascii="Times New Roman" w:cs="Times New Roman" w:eastAsia="Times New Roman" w:hAnsi="Times New Roman"/>
                <w:b/>
                <w:bCs/>
                <w:sz w:val="20"/>
                <w:szCs w:val="20"/>
              </w:rPr>
              <w:t xml:space="preserve">Insert response here (maximum n/a words):</w:t>
            </w:r>
          </w:p>
          <w:p/>
          <w:p/>
        </w:tc>
      </w:tr>
    </w:tbl>
    <w:p>
      <w:pPr>
        <w:spacing w:before="160"/>
      </w:pPr>
    </w:p>
    <w:p>
      <w:r>
        <w:br w:type="page"/>
      </w:r>
    </w:p>
    <w:p>
      <w:pPr>
        <w:spacing w:after="200" w:before="240"/>
      </w:pPr>
      <w:r>
        <w:rPr>
          <w:rFonts w:ascii="Arial" w:cs="Arial" w:eastAsia="Arial" w:hAnsi="Arial"/>
          <w:b/>
          <w:bCs/>
          <w:color w:val="1F3864"/>
          <w:sz w:val="32"/>
          <w:szCs w:val="32"/>
        </w:rPr>
        <w:t xml:space="preserve">Appendix 4 — Compliance and Contractual Requirements</w:t>
      </w:r>
    </w:p>
    <w:p>
      <w:pPr>
        <w:spacing w:after="120"/>
      </w:pPr>
      <w:r>
        <w:rPr>
          <w:rFonts w:ascii="Times New Roman" w:cs="Times New Roman" w:eastAsia="Times New Roman" w:hAnsi="Times New Roman"/>
          <w:sz w:val="22"/>
          <w:szCs w:val="22"/>
        </w:rPr>
        <w:t xml:space="preserve">Any Provider engaged under this opportunity must meet the College's standing obligations to WYCA under the Adult Skills Fund (ASF) Funding Rules 2026–27, and the subcontract entered into with the College will include, at minimum, the following terms:</w:t>
      </w:r>
    </w:p>
    <w:p>
      <w:pPr>
        <w:pStyle w:val="ListParagraph"/>
        <w:numPr>
          <w:ilvl w:val="0"/>
          <w:numId w:val="2"/>
        </w:numPr>
        <w:spacing w:after="80"/>
      </w:pPr>
      <w:r>
        <w:rPr>
          <w:rFonts w:ascii="Times New Roman" w:cs="Times New Roman" w:eastAsia="Times New Roman" w:hAnsi="Times New Roman"/>
          <w:sz w:val="22"/>
          <w:szCs w:val="22"/>
        </w:rPr>
        <w:t xml:space="preserve">Direct centre and/or qualification approval from the relevant awarding organisation for any regulated qualifications delivered</w:t>
      </w:r>
    </w:p>
    <w:p>
      <w:pPr>
        <w:pStyle w:val="ListParagraph"/>
        <w:numPr>
          <w:ilvl w:val="0"/>
          <w:numId w:val="2"/>
        </w:numPr>
        <w:spacing w:after="80"/>
      </w:pPr>
      <w:r>
        <w:rPr>
          <w:rFonts w:ascii="Times New Roman" w:cs="Times New Roman" w:eastAsia="Times New Roman" w:hAnsi="Times New Roman"/>
          <w:sz w:val="22"/>
          <w:szCs w:val="22"/>
        </w:rPr>
        <w:t xml:space="preserve">Evidence packs meeting the same standard as the College's own (learner eligibility, residency, prior attainment, delivered hours)</w:t>
      </w:r>
    </w:p>
    <w:p>
      <w:pPr>
        <w:pStyle w:val="ListParagraph"/>
        <w:numPr>
          <w:ilvl w:val="0"/>
          <w:numId w:val="2"/>
        </w:numPr>
        <w:spacing w:after="80"/>
      </w:pPr>
      <w:r>
        <w:rPr>
          <w:rFonts w:ascii="Times New Roman" w:cs="Times New Roman" w:eastAsia="Times New Roman" w:hAnsi="Times New Roman"/>
          <w:sz w:val="22"/>
          <w:szCs w:val="22"/>
        </w:rPr>
        <w:t xml:space="preserve">Use of the correct DAM and funding codes on the ILR, as directed by the College</w:t>
      </w:r>
    </w:p>
    <w:p>
      <w:pPr>
        <w:pStyle w:val="ListParagraph"/>
        <w:numPr>
          <w:ilvl w:val="0"/>
          <w:numId w:val="2"/>
        </w:numPr>
        <w:spacing w:after="80"/>
      </w:pPr>
      <w:r>
        <w:rPr>
          <w:rFonts w:ascii="Times New Roman" w:cs="Times New Roman" w:eastAsia="Times New Roman" w:hAnsi="Times New Roman"/>
          <w:sz w:val="22"/>
          <w:szCs w:val="22"/>
        </w:rPr>
        <w:t xml:space="preserve">Full cooperation with the College's and WYCA's monitoring, quality assurance and audit requirements, including site visits and evidence-pack spot-checks</w:t>
      </w:r>
    </w:p>
    <w:p>
      <w:pPr>
        <w:pStyle w:val="ListParagraph"/>
        <w:numPr>
          <w:ilvl w:val="0"/>
          <w:numId w:val="2"/>
        </w:numPr>
        <w:spacing w:after="80"/>
      </w:pPr>
      <w:r>
        <w:rPr>
          <w:rFonts w:ascii="Times New Roman" w:cs="Times New Roman" w:eastAsia="Times New Roman" w:hAnsi="Times New Roman"/>
          <w:sz w:val="22"/>
          <w:szCs w:val="22"/>
        </w:rPr>
        <w:t xml:space="preserve">No further (second-level) subcontracting without the College's and WYCA's prior written agreement</w:t>
      </w:r>
    </w:p>
    <w:p>
      <w:pPr>
        <w:pStyle w:val="ListParagraph"/>
        <w:numPr>
          <w:ilvl w:val="0"/>
          <w:numId w:val="2"/>
        </w:numPr>
        <w:spacing w:after="80"/>
      </w:pPr>
      <w:r>
        <w:rPr>
          <w:rFonts w:ascii="Times New Roman" w:cs="Times New Roman" w:eastAsia="Times New Roman" w:hAnsi="Times New Roman"/>
          <w:sz w:val="22"/>
          <w:szCs w:val="22"/>
        </w:rPr>
        <w:t xml:space="preserve">Compliance with the College's safeguarding, health and safety, equality, diversity and inclusion, and data protection policies</w:t>
      </w:r>
    </w:p>
    <w:p>
      <w:pPr>
        <w:pStyle w:val="ListParagraph"/>
        <w:numPr>
          <w:ilvl w:val="0"/>
          <w:numId w:val="2"/>
        </w:numPr>
        <w:spacing w:after="80"/>
      </w:pPr>
      <w:r>
        <w:rPr>
          <w:rFonts w:ascii="Times New Roman" w:cs="Times New Roman" w:eastAsia="Times New Roman" w:hAnsi="Times New Roman"/>
          <w:sz w:val="22"/>
          <w:szCs w:val="22"/>
        </w:rPr>
        <w:t xml:space="preserve">Termination and step-in rights for the College, consistent with WYCA's own contract for services terms</w:t>
      </w:r>
    </w:p>
    <w:p>
      <w:pPr>
        <w:pStyle w:val="ListParagraph"/>
        <w:numPr>
          <w:ilvl w:val="0"/>
          <w:numId w:val="2"/>
        </w:numPr>
        <w:spacing w:after="80"/>
      </w:pPr>
      <w:r>
        <w:rPr>
          <w:rFonts w:ascii="Times New Roman" w:cs="Times New Roman" w:eastAsia="Times New Roman" w:hAnsi="Times New Roman"/>
          <w:sz w:val="22"/>
          <w:szCs w:val="22"/>
        </w:rPr>
        <w:t xml:space="preserve">Delivery at Level 2 or Level 3 only; Level 1 provision is not claimable under this subcontract</w:t>
      </w:r>
    </w:p>
    <w:p>
      <w:pPr>
        <w:spacing w:after="120"/>
      </w:pPr>
      <w:r>
        <w:rPr>
          <w:rFonts w:ascii="Times New Roman" w:cs="Times New Roman" w:eastAsia="Times New Roman" w:hAnsi="Times New Roman"/>
          <w:sz w:val="22"/>
          <w:szCs w:val="22"/>
        </w:rPr>
        <w:t xml:space="preserve">The College will run due diligence on all applicants (financial standing, quality history, safeguarding, insurance, awarding-body approval) before any subcontract is entered into, and will seek WYCA's prior written approval of the named Provider(s) and Delivery Plan before contracting.</w:t>
      </w:r>
    </w:p>
    <w:p>
      <w:r>
        <w:br w:type="page"/>
      </w:r>
    </w:p>
    <w:p>
      <w:pPr>
        <w:spacing w:after="200" w:before="240"/>
      </w:pPr>
      <w:r>
        <w:rPr>
          <w:rFonts w:ascii="Arial" w:cs="Arial" w:eastAsia="Arial" w:hAnsi="Arial"/>
          <w:b/>
          <w:bCs/>
          <w:color w:val="1F3864"/>
          <w:sz w:val="32"/>
          <w:szCs w:val="32"/>
        </w:rPr>
        <w:t xml:space="preserve">Appendix 5 — Indicative Timetable</w:t>
      </w:r>
    </w:p>
    <w:p>
      <w:pPr>
        <w:spacing w:after="120"/>
      </w:pPr>
      <w:r>
        <w:rPr>
          <w:rFonts w:ascii="Times New Roman" w:cs="Times New Roman" w:eastAsia="Times New Roman" w:hAnsi="Times New Roman"/>
          <w:sz w:val="22"/>
          <w:szCs w:val="22"/>
        </w:rPr>
        <w:t xml:space="preserve">The timetable below is indicative. The College may vary it and will notify all Candidates of any change. Award is subject to the prior written approval of the Combined Authority.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000"/>
        <w:gridCol w:w="4350"/>
      </w:tblGrid>
      <w:tr>
        <w:trPr>
          <w:tblHeader/>
        </w:trPr>
        <w:tc>
          <w:tcPr>
            <w:tcW w:type="dxa" w:w="5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Stage</w:t>
            </w:r>
          </w:p>
        </w:tc>
        <w:tc>
          <w:tcPr>
            <w:tcW w:type="dxa" w:w="43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Target</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ITT published on the Leeds College of Building website</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Week commencing 26 October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Clarification questions close</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2 November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Tender submission deadline (email to Carly Sidebottom and Rachel Nichol)</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6 November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Evaluation, moderation and due diligence</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9 – 18 November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Successful Provider(s) announced</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19 November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Named Provider(s) and Delivery Plan submitted to WYCA for written approval</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From 19 November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WYCA written approval received</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Before any contract is entered into</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Onboarding, contract award and subcontract executed, declared to WYCA</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December 2026</w:t>
            </w:r>
          </w:p>
        </w:tc>
      </w:tr>
      <w:tr>
        <w:tc>
          <w:tcPr>
            <w:tcW w:type="dxa" w:w="5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Delivery go-live</w:t>
            </w:r>
          </w:p>
        </w:tc>
        <w:tc>
          <w:tcPr>
            <w:tcW w:type="dxa" w:w="43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sz w:val="20"/>
                <w:szCs w:val="20"/>
              </w:rPr>
              <w:t xml:space="preserve">January 2027</w:t>
            </w:r>
          </w:p>
        </w:tc>
      </w:tr>
    </w:tbl>
    <w:p>
      <w:r>
        <w:br w:type="page"/>
      </w:r>
    </w:p>
    <w:p>
      <w:pPr>
        <w:spacing w:after="200" w:before="240"/>
      </w:pPr>
      <w:r>
        <w:rPr>
          <w:rFonts w:ascii="Arial" w:cs="Arial" w:eastAsia="Arial" w:hAnsi="Arial"/>
          <w:b/>
          <w:bCs/>
          <w:color w:val="1F3864"/>
          <w:sz w:val="32"/>
          <w:szCs w:val="32"/>
        </w:rPr>
        <w:t xml:space="preserve">Appendix 6 — Existing Grant-Funded Provision (Baseline)</w:t>
      </w:r>
    </w:p>
    <w:p>
      <w:pPr>
        <w:spacing w:after="120"/>
      </w:pPr>
      <w:r>
        <w:rPr>
          <w:rFonts w:ascii="Times New Roman" w:cs="Times New Roman" w:eastAsia="Times New Roman" w:hAnsi="Times New Roman"/>
          <w:sz w:val="22"/>
          <w:szCs w:val="22"/>
        </w:rPr>
        <w:t xml:space="preserve">Individual providers are not named. The tables below show the aggregate picture of what is already funded through existing college-led CSP provision, so that any subcontracted offer is genuinely additional rather than a duplicate. Candidates should read them as the baseline their proposal needs to sit alongside.</w:t>
      </w:r>
    </w:p>
    <w:p>
      <w:pPr>
        <w:keepNext/>
        <w:spacing w:after="100" w:before="160"/>
      </w:pPr>
      <w:r>
        <w:rPr>
          <w:rFonts w:ascii="Arial" w:cs="Arial" w:eastAsia="Arial" w:hAnsi="Arial"/>
          <w:b/>
          <w:bCs/>
          <w:color w:val="1F3864"/>
          <w:sz w:val="22"/>
          <w:szCs w:val="22"/>
        </w:rPr>
        <w:t xml:space="preserve">Summary by sector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200"/>
        <w:gridCol w:w="2075"/>
        <w:gridCol w:w="2075"/>
      </w:tblGrid>
      <w:tr>
        <w:trPr>
          <w:tblHeader/>
        </w:trPr>
        <w:tc>
          <w:tcPr>
            <w:tcW w:type="dxa" w:w="52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Sector</w:t>
            </w:r>
          </w:p>
        </w:tc>
        <w:tc>
          <w:tcPr>
            <w:tcW w:type="dxa" w:w="2075"/>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Learners funded</w:t>
            </w:r>
          </w:p>
        </w:tc>
        <w:tc>
          <w:tcPr>
            <w:tcW w:type="dxa" w:w="2075"/>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Share of total</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Licences &amp; safety passports (CSCS, asbestos awareness)</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301</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32%</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Plumbing &amp; heating (incl. water regulations, hot water systems)</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177</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19%</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Multi-trade taster / non-regulated entry provision</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78</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8%</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Retrofit &amp; green skills (air source heat pumps, external wall insulation, low-carbon heating)</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70</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7%</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Site supervision &amp; safety management (CITB, occupational supervision)</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56</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6%</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Civil engineering &amp; streetworks</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44</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5%</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Carpentry / wood occupations</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41</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Maintenance operations</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40</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Trowel occupations (bricklaying, plastering)</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38</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Employability &amp; apprenticeship preparation</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27</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3%</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Electrical installations (Level 2 only)</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22</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Scaffolding (CISRS)</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20</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Roofing</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w:t>
            </w:r>
          </w:p>
        </w:tc>
      </w:tr>
      <w:tr>
        <w:tc>
          <w:tcPr>
            <w:tcW w:type="dxa" w:w="52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Painting &amp; decorating</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c>
          <w:tcPr>
            <w:tcW w:type="dxa" w:w="2075"/>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w:t>
            </w:r>
          </w:p>
        </w:tc>
      </w:tr>
      <w:tr>
        <w:tc>
          <w:tcPr>
            <w:tcW w:type="dxa" w:w="520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r>
              <w:rPr>
                <w:rFonts w:ascii="Times New Roman" w:cs="Times New Roman" w:eastAsia="Times New Roman" w:hAnsi="Times New Roman"/>
                <w:b/>
                <w:bCs/>
                <w:sz w:val="20"/>
                <w:szCs w:val="20"/>
              </w:rPr>
              <w:t xml:space="preserve">Total across existing grant-funded CSP provision</w:t>
            </w:r>
          </w:p>
        </w:tc>
        <w:tc>
          <w:tcPr>
            <w:tcW w:type="dxa" w:w="2075"/>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pPr>
              <w:jc w:val="right"/>
            </w:pPr>
            <w:r>
              <w:rPr>
                <w:rFonts w:ascii="Times New Roman" w:cs="Times New Roman" w:eastAsia="Times New Roman" w:hAnsi="Times New Roman"/>
                <w:b/>
                <w:bCs/>
                <w:sz w:val="20"/>
                <w:szCs w:val="20"/>
              </w:rPr>
              <w:t xml:space="preserve">934</w:t>
            </w:r>
          </w:p>
        </w:tc>
        <w:tc>
          <w:tcPr>
            <w:tcW w:type="dxa" w:w="2075"/>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pPr>
              <w:jc w:val="right"/>
            </w:pPr>
            <w:r>
              <w:rPr>
                <w:rFonts w:ascii="Times New Roman" w:cs="Times New Roman" w:eastAsia="Times New Roman" w:hAnsi="Times New Roman"/>
                <w:b/>
                <w:bCs/>
                <w:sz w:val="20"/>
                <w:szCs w:val="20"/>
              </w:rPr>
              <w:t xml:space="preserve">100%</w:t>
            </w:r>
          </w:p>
        </w:tc>
      </w:tr>
    </w:tbl>
    <w:p>
      <w:pPr>
        <w:spacing w:before="160"/>
      </w:pPr>
    </w:p>
    <w:p>
      <w:pPr>
        <w:keepNext/>
        <w:spacing w:after="100" w:before="160"/>
      </w:pPr>
      <w:r>
        <w:rPr>
          <w:rFonts w:ascii="Arial" w:cs="Arial" w:eastAsia="Arial" w:hAnsi="Arial"/>
          <w:b/>
          <w:bCs/>
          <w:color w:val="1F3864"/>
          <w:sz w:val="22"/>
          <w:szCs w:val="22"/>
        </w:rPr>
        <w:t xml:space="preserve">Qualification detail</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300"/>
        <w:gridCol w:w="4150"/>
        <w:gridCol w:w="700"/>
        <w:gridCol w:w="1000"/>
        <w:gridCol w:w="700"/>
        <w:gridCol w:w="1500"/>
      </w:tblGrid>
      <w:tr>
        <w:trPr>
          <w:tblHeader/>
        </w:trPr>
        <w:tc>
          <w:tcPr>
            <w:tcW w:type="dxa" w:w="13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Learning aim</w:t>
            </w:r>
          </w:p>
        </w:tc>
        <w:tc>
          <w:tcPr>
            <w:tcW w:type="dxa" w:w="415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Qual title</w:t>
            </w:r>
          </w:p>
        </w:tc>
        <w:tc>
          <w:tcPr>
            <w:tcW w:type="dxa" w:w="7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Level</w:t>
            </w:r>
          </w:p>
        </w:tc>
        <w:tc>
          <w:tcPr>
            <w:tcW w:type="dxa" w:w="10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Elig. flex.</w:t>
            </w:r>
          </w:p>
        </w:tc>
        <w:tc>
          <w:tcPr>
            <w:tcW w:type="dxa" w:w="7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WPL</w:t>
            </w:r>
          </w:p>
        </w:tc>
        <w:tc>
          <w:tcPr>
            <w:tcW w:type="dxa" w:w="1500"/>
            <w:tcBorders>
              <w:top w:val="single" w:color="808080" w:sz="4"/>
              <w:left w:val="single" w:color="808080" w:sz="4"/>
              <w:bottom w:val="single" w:color="808080" w:sz="4"/>
              <w:right w:val="single" w:color="808080" w:sz="4"/>
            </w:tcBorders>
            <w:shd w:fill="1F3864" w:color="auto" w:val="clear"/>
            <w:tcMar>
              <w:top w:type="dxa" w:w="70"/>
              <w:left w:type="dxa" w:w="110"/>
              <w:bottom w:type="dxa" w:w="70"/>
              <w:right w:type="dxa" w:w="110"/>
            </w:tcMar>
          </w:tcPr>
          <w:p>
            <w:r>
              <w:rPr>
                <w:rFonts w:ascii="Times New Roman" w:cs="Times New Roman" w:eastAsia="Times New Roman" w:hAnsi="Times New Roman"/>
                <w:b/>
                <w:bCs/>
                <w:color w:val="FFFFFF"/>
                <w:sz w:val="20"/>
                <w:szCs w:val="20"/>
              </w:rPr>
              <w:t xml:space="preserve">Learners</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603/5981/X</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 NVQ Diploma in Wood Occupations (Construction) – Site Carpentry</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610/0709/2</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C&amp;G Level 2 NVQ in Construction and Civil Engineering Operations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603/5962/6</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 NVQ Diploma in Wood Occupations (Construction) – Site Carpentry</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603/5923/7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 NVQ Diploma in Trowel Occupations (Construction)</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2</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501/1981/3</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 NVQ Diploma in Plumbing and Heating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Preparation for the Apprenticeship Journey in Construction</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12</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50119813</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NVQ Diploma in Plumbing and Heating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610/0817/5</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Award in Air Source Heat Pump Systems (non-refrigerant circuits)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Water Regulations &amp; Byelaws Manual (WRWB)</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Domestic Hot Water Storage Systems (Unvented)</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603/2368/1</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NOCN L2 NVQ Diploma in Plastering (Construction) – Solid</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603/5468/9</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NOCN L2 NVQ Diploma in Wood Occupations – Site Carpentry</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603/5460/4</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NOCN L2 NVQ Diploma in Trowel Occupations – Bricklaying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New Road and Streetworks (Operators) (6156 scheme)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Z0030007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CSCS Green Card</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80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60055005</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Diploma in Domestic Plumbing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12</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60080516</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Diploma in Plastering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6</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60054980</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Diploma in Electrical Installations (Buildings and Structures)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12</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CITB (SSSTS) Site Supervisor Safety Training Scheme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18</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CITB (SMSTS) Site Manager Safety Training Scheme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18</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61045913</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Extended Technical Occupational Entry in Wood Occupations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15</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Employability and Essential Skills for Construction Industry</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15</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Z0030007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CSCS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15</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Z0030007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CSCS test</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113</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Aim required</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Carousel of brickwork, C&amp;J, plastering, plumbing, P&amp;D, roofing (non-regulated)</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78</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60063865</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Award in Asbestos Awareness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93</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60080498</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C&amp;G 6711-23 Level 2 Maintenance Operations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40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60055005</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Diploma in Plumbing Studies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60054980</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Diploma in Electrical Installations (Buildings and Structures)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50119813</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NVQ Diploma in Plumbing and Heating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15</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60085848</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Diploma in Painting and Decorating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60105264</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Award in Construction Skills (Plumbing)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60105276</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Certificate in Construction Skills (Plumbing)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60302847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Level 2 Technical Certificate in Plumbing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50119813</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NVQ Diploma in Plumbing and Heating</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603/2378/4</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NOCN L3 NVQ Diploma in Roofing Occupations – Roof Slater and Tiler</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601/2500/7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 NVQ Diploma in Construction Contracting Operations – General</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603/4513/5</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 NVQ Diploma – Occupational Work Supervision (Construction)</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603/5923/7</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 NVQ Diploma in Trowel Occupations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603/5962/6</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 NVQ Diploma in Wood Occupations – Site Carpentry</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Bespoke – TEP</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External Wall Insulation (EWI)</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Bespoke – TEP</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CISRS Part One Scaffolding Programme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L2</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TBC</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Bespoke – TEP</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CISRS Part Two Scaffolding Programme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TBC</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Bespoke – TEP</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Low-carbon Heating Programme</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TBC</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No</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610/0817/5</w:t>
            </w:r>
          </w:p>
        </w:tc>
        <w:tc>
          <w:tcPr>
            <w:tcW w:type="dxa" w:w="415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Award in Air Source Heat Pump Systems (non-refrigerant circuits)</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L3</w:t>
            </w:r>
          </w:p>
        </w:tc>
        <w:tc>
          <w:tcPr>
            <w:tcW w:type="dxa" w:w="10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TBC</w:t>
            </w:r>
          </w:p>
        </w:tc>
        <w:tc>
          <w:tcPr>
            <w:tcW w:type="dxa" w:w="700"/>
            <w:tcBorders>
              <w:top w:val="single" w:color="808080" w:sz="4"/>
              <w:left w:val="single" w:color="808080" w:sz="4"/>
              <w:bottom w:val="single" w:color="808080" w:sz="4"/>
              <w:right w:val="single" w:color="808080" w:sz="4"/>
            </w:tcBorders>
            <w:tcMar>
              <w:top w:type="dxa" w:w="70"/>
              <w:left w:type="dxa" w:w="110"/>
              <w:bottom w:type="dxa" w:w="70"/>
              <w:right w:type="dxa" w:w="110"/>
            </w:tcMar>
          </w:tcPr>
          <w:p>
            <w:r>
              <w:rPr>
                <w:rFonts w:ascii="Times New Roman" w:cs="Times New Roman" w:eastAsia="Times New Roman" w:hAnsi="Times New Roman"/>
                <w:b w:val="false"/>
                <w:bCs w:val="false"/>
                <w:sz w:val="20"/>
                <w:szCs w:val="20"/>
              </w:rPr>
              <w:t xml:space="preserve">Yes</w:t>
            </w:r>
          </w:p>
        </w:tc>
        <w:tc>
          <w:tcPr>
            <w:tcW w:type="dxa" w:w="1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jc w:val="right"/>
            </w:pPr>
            <w:r>
              <w:rPr>
                <w:rFonts w:ascii="Times New Roman" w:cs="Times New Roman" w:eastAsia="Times New Roman" w:hAnsi="Times New Roman"/>
                <w:b w:val="false"/>
                <w:bCs w:val="false"/>
                <w:sz w:val="20"/>
                <w:szCs w:val="20"/>
              </w:rPr>
              <w:t xml:space="preserve">10</w:t>
            </w:r>
          </w:p>
        </w:tc>
      </w:tr>
      <w:tr>
        <w:tc>
          <w:tcPr>
            <w:tcW w:type="dxa" w:w="130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r>
              <w:rPr>
                <w:rFonts w:ascii="Times New Roman" w:cs="Times New Roman" w:eastAsia="Times New Roman" w:hAnsi="Times New Roman"/>
                <w:b/>
                <w:bCs/>
                <w:sz w:val="20"/>
                <w:szCs w:val="20"/>
              </w:rPr>
              <w:t xml:space="preserve"/>
            </w:r>
          </w:p>
        </w:tc>
        <w:tc>
          <w:tcPr>
            <w:tcW w:type="dxa" w:w="415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r>
              <w:rPr>
                <w:rFonts w:ascii="Times New Roman" w:cs="Times New Roman" w:eastAsia="Times New Roman" w:hAnsi="Times New Roman"/>
                <w:b/>
                <w:bCs/>
                <w:sz w:val="20"/>
                <w:szCs w:val="20"/>
              </w:rPr>
              <w:t xml:space="preserve">Total across existing grant-funded CSP provision</w:t>
            </w:r>
          </w:p>
        </w:tc>
        <w:tc>
          <w:tcPr>
            <w:tcW w:type="dxa" w:w="70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r>
              <w:rPr>
                <w:rFonts w:ascii="Times New Roman" w:cs="Times New Roman" w:eastAsia="Times New Roman" w:hAnsi="Times New Roman"/>
                <w:b/>
                <w:bCs/>
                <w:sz w:val="20"/>
                <w:szCs w:val="20"/>
              </w:rPr>
              <w:t xml:space="preserve"/>
            </w:r>
          </w:p>
        </w:tc>
        <w:tc>
          <w:tcPr>
            <w:tcW w:type="dxa" w:w="100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r>
              <w:rPr>
                <w:rFonts w:ascii="Times New Roman" w:cs="Times New Roman" w:eastAsia="Times New Roman" w:hAnsi="Times New Roman"/>
                <w:b/>
                <w:bCs/>
                <w:sz w:val="20"/>
                <w:szCs w:val="20"/>
              </w:rPr>
              <w:t xml:space="preserve"/>
            </w:r>
          </w:p>
        </w:tc>
        <w:tc>
          <w:tcPr>
            <w:tcW w:type="dxa" w:w="70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r>
              <w:rPr>
                <w:rFonts w:ascii="Times New Roman" w:cs="Times New Roman" w:eastAsia="Times New Roman" w:hAnsi="Times New Roman"/>
                <w:b/>
                <w:bCs/>
                <w:sz w:val="20"/>
                <w:szCs w:val="20"/>
              </w:rPr>
              <w:t xml:space="preserve"/>
            </w:r>
          </w:p>
        </w:tc>
        <w:tc>
          <w:tcPr>
            <w:tcW w:type="dxa" w:w="1500"/>
            <w:tcBorders>
              <w:top w:val="single" w:color="808080" w:sz="4"/>
              <w:left w:val="single" w:color="808080" w:sz="4"/>
              <w:bottom w:val="single" w:color="808080" w:sz="4"/>
              <w:right w:val="single" w:color="808080" w:sz="4"/>
            </w:tcBorders>
            <w:shd w:fill="D9D9D9" w:color="auto" w:val="clear"/>
            <w:tcMar>
              <w:top w:type="dxa" w:w="70"/>
              <w:left w:type="dxa" w:w="110"/>
              <w:bottom w:type="dxa" w:w="70"/>
              <w:right w:type="dxa" w:w="110"/>
            </w:tcMar>
          </w:tcPr>
          <w:p>
            <w:pPr>
              <w:jc w:val="right"/>
            </w:pPr>
            <w:r>
              <w:rPr>
                <w:rFonts w:ascii="Times New Roman" w:cs="Times New Roman" w:eastAsia="Times New Roman" w:hAnsi="Times New Roman"/>
                <w:b/>
                <w:bCs/>
                <w:sz w:val="20"/>
                <w:szCs w:val="20"/>
              </w:rPr>
              <w:t xml:space="preserve">934</w:t>
            </w:r>
          </w:p>
        </w:tc>
      </w:tr>
    </w:tbl>
    <w:sectPr>
      <w:headerReference w:type="default" r:id="rId6"/>
      <w:footerReference w:type="default" r:id="rId7"/>
      <w:pgSz w:w="11906" w:h="16838" w:orient="portrait"/>
      <w:pgMar w:top="1440" w:right="1278" w:bottom="1440" w:left="127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6"/>
        <w:szCs w:val="16"/>
      </w:rPr>
      <w:t xml:space="preserve">Page </w:t>
    </w:r>
    <w:r>
      <w:rPr>
        <w:rFonts w:ascii="Arial" w:cs="Arial" w:eastAsia="Arial" w:hAnsi="Arial"/>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08080"/>
        <w:sz w:val="16"/>
        <w:szCs w:val="16"/>
      </w:rPr>
      <w:t xml:space="preserve">Invitation to Tender — CSP Subcontracted Delivery — Leeds College of Building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2026-10-22T13:07:23.910Z</dcterms:created>
  <dcterms:modified xsi:type="dcterms:W3CDTF">2026-10-22T13:07:23.911Z</dcterms:modified>
</cp:coreProperties>
</file>

<file path=docProps/custom.xml><?xml version="1.0" encoding="utf-8"?>
<Properties xmlns="http://schemas.openxmlformats.org/officeDocument/2006/custom-properties" xmlns:vt="http://schemas.openxmlformats.org/officeDocument/2006/docPropsVTypes"/>
</file>